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4253" w:rightChars="-2025"/>
        <w:jc w:val="center"/>
        <w:rPr>
          <w:rFonts w:ascii="仿宋" w:hAnsi="仿宋" w:eastAsia="仿宋"/>
          <w:sz w:val="44"/>
          <w:szCs w:val="44"/>
        </w:rPr>
      </w:pPr>
      <w:r>
        <w:rPr>
          <w:rFonts w:hint="eastAsia" w:ascii="仿宋" w:hAnsi="仿宋" w:eastAsia="仿宋"/>
          <w:sz w:val="44"/>
          <w:szCs w:val="44"/>
        </w:rPr>
        <w:t>金华银行股份有限公司</w:t>
      </w:r>
    </w:p>
    <w:p>
      <w:pPr>
        <w:ind w:right="-4253" w:rightChars="-2025"/>
        <w:jc w:val="center"/>
        <w:rPr>
          <w:rFonts w:ascii="仿宋" w:hAnsi="仿宋" w:eastAsia="仿宋"/>
          <w:sz w:val="44"/>
          <w:szCs w:val="44"/>
        </w:rPr>
      </w:pPr>
      <w:r>
        <w:rPr>
          <w:rFonts w:hint="eastAsia" w:ascii="仿宋" w:hAnsi="仿宋" w:eastAsia="仿宋"/>
          <w:sz w:val="44"/>
          <w:szCs w:val="44"/>
        </w:rPr>
        <w:t>2</w:t>
      </w:r>
      <w:r>
        <w:rPr>
          <w:rFonts w:ascii="仿宋" w:hAnsi="仿宋" w:eastAsia="仿宋"/>
          <w:sz w:val="44"/>
          <w:szCs w:val="44"/>
        </w:rPr>
        <w:t>026</w:t>
      </w:r>
      <w:r>
        <w:rPr>
          <w:rFonts w:hint="eastAsia" w:ascii="仿宋" w:hAnsi="仿宋" w:eastAsia="仿宋"/>
          <w:sz w:val="44"/>
          <w:szCs w:val="44"/>
        </w:rPr>
        <w:t>年一季度第三支柱信息披露报告</w:t>
      </w:r>
    </w:p>
    <w:p>
      <w:pPr>
        <w:jc w:val="center"/>
        <w:rPr>
          <w:rFonts w:ascii="仿宋" w:hAnsi="仿宋" w:eastAsia="仿宋"/>
          <w:sz w:val="44"/>
          <w:szCs w:val="44"/>
        </w:rPr>
      </w:pPr>
    </w:p>
    <w:p>
      <w:pPr>
        <w:widowControl w:val="0"/>
        <w:wordWrap/>
        <w:adjustRightInd/>
        <w:snapToGrid/>
        <w:spacing w:line="560" w:lineRule="exact"/>
        <w:ind w:right="-4253" w:rightChars="-2025"/>
        <w:jc w:val="left"/>
        <w:textAlignment w:val="auto"/>
        <w:rPr>
          <w:rFonts w:ascii="仿宋" w:hAnsi="仿宋" w:eastAsia="仿宋"/>
          <w:sz w:val="32"/>
          <w:szCs w:val="32"/>
        </w:rPr>
      </w:pPr>
      <w:r>
        <w:rPr>
          <w:rFonts w:hint="eastAsia" w:ascii="仿宋" w:hAnsi="仿宋" w:eastAsia="仿宋"/>
          <w:sz w:val="44"/>
          <w:szCs w:val="44"/>
        </w:rPr>
        <w:t xml:space="preserve"> </w:t>
      </w:r>
      <w:r>
        <w:rPr>
          <w:rFonts w:ascii="仿宋" w:hAnsi="仿宋" w:eastAsia="仿宋"/>
          <w:sz w:val="44"/>
          <w:szCs w:val="44"/>
        </w:rPr>
        <w:t xml:space="preserve">  </w:t>
      </w:r>
      <w:r>
        <w:rPr>
          <w:rFonts w:hint="eastAsia" w:ascii="仿宋" w:hAnsi="仿宋" w:eastAsia="仿宋"/>
          <w:sz w:val="32"/>
          <w:szCs w:val="32"/>
        </w:rPr>
        <w:t>本公司为非国内系统重要性银行，根据</w:t>
      </w:r>
      <w:r>
        <w:rPr>
          <w:rFonts w:ascii="仿宋" w:hAnsi="仿宋" w:eastAsia="仿宋"/>
          <w:sz w:val="32"/>
          <w:szCs w:val="32"/>
        </w:rPr>
        <w:t>2023年11月颁布的</w:t>
      </w:r>
      <w:r>
        <w:rPr>
          <w:rFonts w:hint="eastAsia" w:ascii="仿宋" w:hAnsi="仿宋" w:eastAsia="仿宋"/>
          <w:sz w:val="32"/>
          <w:szCs w:val="32"/>
        </w:rPr>
        <w:t>《商业银行资本管理办</w:t>
      </w:r>
      <w:r>
        <w:rPr>
          <w:rFonts w:ascii="仿宋" w:hAnsi="仿宋" w:eastAsia="仿宋"/>
          <w:sz w:val="32"/>
          <w:szCs w:val="32"/>
        </w:rPr>
        <w:t>法》（以下简称“办法”）附件 22《商业银行信息披露内容和要求》的规定，</w:t>
      </w:r>
      <w:r>
        <w:rPr>
          <w:rFonts w:hint="eastAsia" w:ascii="仿宋" w:hAnsi="仿宋" w:eastAsia="仿宋"/>
          <w:sz w:val="32"/>
          <w:szCs w:val="32"/>
        </w:rPr>
        <w:t>本</w:t>
      </w:r>
      <w:r>
        <w:rPr>
          <w:rFonts w:ascii="仿宋" w:hAnsi="仿宋" w:eastAsia="仿宋"/>
          <w:sz w:val="32"/>
          <w:szCs w:val="32"/>
        </w:rPr>
        <w:t>公司按照办法第二章规定的并表范围披露相关信息，并表范围包括</w:t>
      </w:r>
      <w:r>
        <w:rPr>
          <w:rFonts w:hint="eastAsia" w:ascii="仿宋" w:hAnsi="仿宋" w:eastAsia="仿宋"/>
          <w:sz w:val="32"/>
          <w:szCs w:val="32"/>
        </w:rPr>
        <w:t>浙江磐安婺商村镇银行股份有限公司</w:t>
      </w:r>
      <w:r>
        <w:rPr>
          <w:rFonts w:ascii="仿宋" w:hAnsi="仿宋" w:eastAsia="仿宋"/>
          <w:sz w:val="32"/>
          <w:szCs w:val="32"/>
        </w:rPr>
        <w:t>。</w:t>
      </w:r>
      <w:r>
        <w:rPr>
          <w:rFonts w:hint="eastAsia" w:ascii="仿宋" w:hAnsi="仿宋" w:eastAsia="仿宋"/>
          <w:sz w:val="32"/>
          <w:szCs w:val="32"/>
          <w:lang w:val="en-US" w:eastAsia="zh-CN"/>
        </w:rPr>
        <w:t>本公司已建立完善的信息披露治理结构，由董事会批准并由高级管理层实施有效的内部控制流程，对信息披露内容进行合理审查，确保第三支柱披露信息真实、可靠</w:t>
      </w:r>
      <w:r>
        <w:rPr>
          <w:rFonts w:hint="eastAsia" w:ascii="仿宋" w:hAnsi="仿宋" w:eastAsia="仿宋"/>
          <w:sz w:val="32"/>
          <w:szCs w:val="32"/>
        </w:rPr>
        <w:t>。</w:t>
      </w:r>
      <w:bookmarkStart w:id="0" w:name="_GoBack"/>
      <w:bookmarkEnd w:id="0"/>
    </w:p>
    <w:p>
      <w:pPr>
        <w:spacing w:line="480" w:lineRule="exact"/>
        <w:ind w:right="-4253" w:rightChars="-2025" w:firstLine="640" w:firstLineChars="200"/>
        <w:jc w:val="left"/>
        <w:rPr>
          <w:rFonts w:ascii="仿宋" w:hAnsi="仿宋" w:eastAsia="仿宋"/>
          <w:sz w:val="32"/>
          <w:szCs w:val="32"/>
        </w:rPr>
      </w:pPr>
      <w:r>
        <w:rPr>
          <w:rFonts w:hint="eastAsia" w:ascii="仿宋" w:hAnsi="仿宋" w:eastAsia="仿宋"/>
          <w:sz w:val="32"/>
          <w:szCs w:val="32"/>
        </w:rPr>
        <w:t>本季度度公司需披露的报表如下：</w:t>
      </w:r>
    </w:p>
    <w:p>
      <w:pPr>
        <w:spacing w:line="480" w:lineRule="exact"/>
        <w:ind w:right="-4253" w:rightChars="-2025" w:firstLine="640" w:firstLineChars="200"/>
        <w:jc w:val="left"/>
        <w:rPr>
          <w:rFonts w:ascii="仿宋" w:hAnsi="仿宋" w:eastAsia="仿宋"/>
          <w:sz w:val="32"/>
          <w:szCs w:val="32"/>
        </w:rPr>
      </w:pPr>
    </w:p>
    <w:tbl>
      <w:tblPr>
        <w:tblStyle w:val="5"/>
        <w:tblW w:w="10240"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2222"/>
        <w:gridCol w:w="1627"/>
        <w:gridCol w:w="1426"/>
        <w:gridCol w:w="1559"/>
        <w:gridCol w:w="1429"/>
        <w:gridCol w:w="12"/>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8821" w:type="dxa"/>
            <w:gridSpan w:val="7"/>
            <w:tcBorders>
              <w:top w:val="nil"/>
              <w:left w:val="nil"/>
              <w:bottom w:val="nil"/>
              <w:right w:val="nil"/>
            </w:tcBorders>
            <w:vAlign w:val="center"/>
          </w:tcPr>
          <w:p>
            <w:pPr>
              <w:widowControl/>
              <w:jc w:val="left"/>
              <w:rPr>
                <w:rFonts w:ascii="仿宋_GB2312" w:eastAsia="仿宋_GB2312" w:cs="宋体"/>
                <w:b/>
                <w:bCs/>
                <w:color w:val="000000"/>
                <w:kern w:val="0"/>
                <w:sz w:val="22"/>
                <w:szCs w:val="28"/>
              </w:rPr>
            </w:pPr>
            <w:r>
              <w:rPr>
                <w:rFonts w:ascii="Arial" w:hAnsi="Arial" w:eastAsia="仿宋_GB2312" w:cs="Arial"/>
                <w:b/>
                <w:bCs/>
                <w:color w:val="000000"/>
                <w:kern w:val="0"/>
                <w:sz w:val="22"/>
                <w:szCs w:val="28"/>
              </w:rPr>
              <w:t xml:space="preserve">KM1 </w:t>
            </w:r>
            <w:r>
              <w:rPr>
                <w:rFonts w:hint="eastAsia" w:ascii="微软雅黑" w:hAnsi="微软雅黑" w:eastAsia="微软雅黑" w:cs="宋体"/>
                <w:b/>
                <w:bCs/>
                <w:color w:val="000000"/>
                <w:kern w:val="0"/>
                <w:sz w:val="22"/>
                <w:szCs w:val="28"/>
              </w:rPr>
              <w:t>监管并表关键审慎监管指标</w:t>
            </w:r>
          </w:p>
        </w:tc>
        <w:tc>
          <w:tcPr>
            <w:tcW w:w="1419" w:type="dxa"/>
            <w:tcBorders>
              <w:top w:val="nil"/>
              <w:left w:val="nil"/>
              <w:bottom w:val="nil"/>
              <w:right w:val="nil"/>
            </w:tcBorders>
            <w:vAlign w:val="center"/>
          </w:tcPr>
          <w:p>
            <w:pPr>
              <w:widowControl/>
              <w:jc w:val="left"/>
              <w:rPr>
                <w:rFonts w:hint="eastAsia" w:ascii="仿宋_GB2312" w:eastAsia="仿宋_GB2312" w:cs="宋体"/>
                <w:b/>
                <w:bCs/>
                <w:color w:val="000000"/>
                <w:kern w:val="0"/>
                <w:sz w:val="22"/>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546" w:type="dxa"/>
            <w:tcBorders>
              <w:top w:val="nil"/>
              <w:left w:val="nil"/>
              <w:bottom w:val="nil"/>
              <w:right w:val="nil"/>
            </w:tcBorders>
            <w:vAlign w:val="bottom"/>
          </w:tcPr>
          <w:p>
            <w:pPr>
              <w:widowControl/>
              <w:jc w:val="left"/>
              <w:rPr>
                <w:rFonts w:ascii="Times New Roman" w:hAnsi="Times New Roman" w:eastAsia="Times New Roman"/>
                <w:kern w:val="0"/>
                <w:sz w:val="22"/>
                <w:szCs w:val="20"/>
              </w:rPr>
            </w:pPr>
          </w:p>
        </w:tc>
        <w:tc>
          <w:tcPr>
            <w:tcW w:w="2222" w:type="dxa"/>
            <w:tcBorders>
              <w:top w:val="nil"/>
              <w:left w:val="nil"/>
              <w:bottom w:val="nil"/>
              <w:right w:val="nil"/>
            </w:tcBorders>
            <w:vAlign w:val="bottom"/>
          </w:tcPr>
          <w:p>
            <w:pPr>
              <w:widowControl/>
              <w:jc w:val="left"/>
              <w:rPr>
                <w:rFonts w:ascii="Times New Roman" w:hAnsi="Times New Roman" w:eastAsia="Times New Roman"/>
                <w:kern w:val="0"/>
                <w:sz w:val="22"/>
                <w:szCs w:val="20"/>
              </w:rPr>
            </w:pPr>
          </w:p>
        </w:tc>
        <w:tc>
          <w:tcPr>
            <w:tcW w:w="1627" w:type="dxa"/>
            <w:tcBorders>
              <w:top w:val="nil"/>
              <w:left w:val="nil"/>
              <w:bottom w:val="nil"/>
              <w:right w:val="nil"/>
            </w:tcBorders>
            <w:vAlign w:val="bottom"/>
          </w:tcPr>
          <w:p>
            <w:pPr>
              <w:widowControl/>
              <w:jc w:val="left"/>
              <w:rPr>
                <w:rFonts w:ascii="Times New Roman" w:hAnsi="Times New Roman" w:eastAsia="Times New Roman"/>
                <w:kern w:val="0"/>
                <w:sz w:val="22"/>
                <w:szCs w:val="20"/>
              </w:rPr>
            </w:pPr>
          </w:p>
        </w:tc>
        <w:tc>
          <w:tcPr>
            <w:tcW w:w="1426" w:type="dxa"/>
            <w:tcBorders>
              <w:top w:val="nil"/>
              <w:left w:val="nil"/>
              <w:bottom w:val="nil"/>
              <w:right w:val="nil"/>
            </w:tcBorders>
            <w:vAlign w:val="bottom"/>
          </w:tcPr>
          <w:p>
            <w:pPr>
              <w:widowControl/>
              <w:jc w:val="left"/>
              <w:rPr>
                <w:rFonts w:ascii="Times New Roman" w:hAnsi="Times New Roman" w:eastAsia="Times New Roman"/>
                <w:kern w:val="0"/>
                <w:sz w:val="22"/>
                <w:szCs w:val="20"/>
              </w:rPr>
            </w:pPr>
          </w:p>
        </w:tc>
        <w:tc>
          <w:tcPr>
            <w:tcW w:w="1559" w:type="dxa"/>
            <w:tcBorders>
              <w:top w:val="nil"/>
              <w:left w:val="nil"/>
              <w:bottom w:val="nil"/>
              <w:right w:val="nil"/>
            </w:tcBorders>
            <w:vAlign w:val="bottom"/>
          </w:tcPr>
          <w:p>
            <w:pPr>
              <w:widowControl/>
              <w:jc w:val="center"/>
              <w:rPr>
                <w:rFonts w:ascii="Times New Roman" w:hAnsi="Times New Roman" w:eastAsia="Times New Roman"/>
                <w:kern w:val="0"/>
                <w:sz w:val="22"/>
                <w:szCs w:val="20"/>
              </w:rPr>
            </w:pPr>
          </w:p>
        </w:tc>
        <w:tc>
          <w:tcPr>
            <w:tcW w:w="1429" w:type="dxa"/>
            <w:tcBorders>
              <w:top w:val="nil"/>
              <w:left w:val="nil"/>
              <w:bottom w:val="nil"/>
              <w:right w:val="nil"/>
            </w:tcBorders>
            <w:vAlign w:val="bottom"/>
          </w:tcPr>
          <w:p>
            <w:pPr>
              <w:widowControl/>
              <w:jc w:val="center"/>
              <w:rPr>
                <w:rFonts w:ascii="Times New Roman" w:hAnsi="Times New Roman" w:eastAsia="Times New Roman"/>
                <w:kern w:val="0"/>
                <w:sz w:val="22"/>
                <w:szCs w:val="20"/>
              </w:rPr>
            </w:pPr>
          </w:p>
        </w:tc>
        <w:tc>
          <w:tcPr>
            <w:tcW w:w="1431" w:type="dxa"/>
            <w:gridSpan w:val="2"/>
            <w:tcBorders>
              <w:top w:val="nil"/>
              <w:left w:val="nil"/>
              <w:bottom w:val="nil"/>
              <w:right w:val="nil"/>
            </w:tcBorders>
            <w:vAlign w:val="center"/>
          </w:tcPr>
          <w:p>
            <w:pPr>
              <w:widowControl/>
              <w:jc w:val="right"/>
              <w:rPr>
                <w:rFonts w:ascii="宋体" w:hAnsi="宋体" w:eastAsia="宋体" w:cs="宋体"/>
                <w:color w:val="000000"/>
                <w:kern w:val="0"/>
                <w:sz w:val="22"/>
                <w:szCs w:val="28"/>
              </w:rPr>
            </w:pPr>
            <w:r>
              <w:rPr>
                <w:rFonts w:hint="eastAsia" w:ascii="宋体" w:hAnsi="宋体" w:eastAsia="宋体" w:cs="宋体"/>
                <w:color w:val="000000"/>
                <w:kern w:val="0"/>
                <w:sz w:val="22"/>
                <w:szCs w:val="2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768" w:type="dxa"/>
            <w:gridSpan w:val="2"/>
            <w:vMerge w:val="restart"/>
            <w:tcBorders>
              <w:top w:val="single" w:color="auto" w:sz="8" w:space="0"/>
              <w:left w:val="nil"/>
              <w:bottom w:val="single" w:color="000000" w:sz="8" w:space="0"/>
              <w:right w:val="single" w:color="000000"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　</w:t>
            </w:r>
          </w:p>
        </w:tc>
        <w:tc>
          <w:tcPr>
            <w:tcW w:w="1627" w:type="dxa"/>
            <w:tcBorders>
              <w:top w:val="single" w:color="auto" w:sz="8" w:space="0"/>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a</w:t>
            </w:r>
          </w:p>
        </w:tc>
        <w:tc>
          <w:tcPr>
            <w:tcW w:w="1426" w:type="dxa"/>
            <w:tcBorders>
              <w:top w:val="single" w:color="auto" w:sz="8" w:space="0"/>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b</w:t>
            </w:r>
          </w:p>
        </w:tc>
        <w:tc>
          <w:tcPr>
            <w:tcW w:w="1559" w:type="dxa"/>
            <w:tcBorders>
              <w:top w:val="single" w:color="auto" w:sz="8" w:space="0"/>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c</w:t>
            </w:r>
          </w:p>
        </w:tc>
        <w:tc>
          <w:tcPr>
            <w:tcW w:w="1429" w:type="dxa"/>
            <w:tcBorders>
              <w:top w:val="single" w:color="auto" w:sz="8" w:space="0"/>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d</w:t>
            </w:r>
          </w:p>
        </w:tc>
        <w:tc>
          <w:tcPr>
            <w:tcW w:w="1431" w:type="dxa"/>
            <w:gridSpan w:val="2"/>
            <w:tcBorders>
              <w:top w:val="single" w:color="auto" w:sz="8" w:space="0"/>
              <w:left w:val="nil"/>
              <w:bottom w:val="single" w:color="auto" w:sz="8" w:space="0"/>
              <w:right w:val="nil"/>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68" w:type="dxa"/>
            <w:gridSpan w:val="2"/>
            <w:vMerge w:val="continue"/>
            <w:tcBorders>
              <w:top w:val="single" w:color="auto" w:sz="8" w:space="0"/>
              <w:left w:val="nil"/>
              <w:bottom w:val="single" w:color="000000" w:sz="8" w:space="0"/>
              <w:right w:val="single" w:color="000000" w:sz="8" w:space="0"/>
            </w:tcBorders>
            <w:vAlign w:val="center"/>
          </w:tcPr>
          <w:p>
            <w:pPr>
              <w:widowControl/>
              <w:jc w:val="left"/>
              <w:rPr>
                <w:rFonts w:ascii="仿宋_GB2312" w:eastAsia="仿宋_GB2312" w:cs="宋体"/>
                <w:color w:val="000000"/>
                <w:kern w:val="0"/>
                <w:sz w:val="22"/>
                <w:szCs w:val="28"/>
              </w:rPr>
            </w:pP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2026年3月</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2025年12月</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2025年9月</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2025年6月</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2025年3月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可用资本（数额）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核心一级资本净额</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696694.85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692798.19</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682087.66</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728055.33</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695890.73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6"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一级资本净额</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747075.64</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743175.81</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732472.28</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778438.18</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696285.12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3</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资本净额</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973262.15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954158.83</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938022.66</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977365.73</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911776.34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风险加权资产（数额）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4</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风险加权资产</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8587921.63</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8386386.43</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8101264.49</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8035661.38</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7957365.42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资本充足率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核心一级资本充足率（%）</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8.11</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8.26</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8.42</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9.06</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一级资本充足率（%）</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8.70</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8.86</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9.04</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9.69</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资本充足率（%）</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11.33</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11.38</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11.58</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12.16</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储备资本要求（%）</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9</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逆周期资本要求（%）</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0</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0</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0</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0</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6" w:hRule="atLeast"/>
        </w:trPr>
        <w:tc>
          <w:tcPr>
            <w:tcW w:w="54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10</w:t>
            </w:r>
          </w:p>
        </w:tc>
        <w:tc>
          <w:tcPr>
            <w:tcW w:w="2222"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全球系统重要性银行或国内系统重要性银行附加资本要求（%）</w:t>
            </w:r>
          </w:p>
        </w:tc>
        <w:tc>
          <w:tcPr>
            <w:tcW w:w="1627" w:type="dxa"/>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　</w:t>
            </w:r>
          </w:p>
        </w:tc>
        <w:tc>
          <w:tcPr>
            <w:tcW w:w="1426" w:type="dxa"/>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　</w:t>
            </w:r>
          </w:p>
        </w:tc>
        <w:tc>
          <w:tcPr>
            <w:tcW w:w="1559" w:type="dxa"/>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　</w:t>
            </w:r>
          </w:p>
        </w:tc>
        <w:tc>
          <w:tcPr>
            <w:tcW w:w="1429" w:type="dxa"/>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　</w:t>
            </w:r>
          </w:p>
        </w:tc>
        <w:tc>
          <w:tcPr>
            <w:tcW w:w="1431" w:type="dxa"/>
            <w:gridSpan w:val="2"/>
            <w:tcBorders>
              <w:top w:val="nil"/>
              <w:left w:val="nil"/>
              <w:bottom w:val="single" w:color="auto" w:sz="8" w:space="0"/>
              <w:right w:val="single" w:color="auto" w:sz="8" w:space="0"/>
            </w:tcBorders>
            <w:shd w:val="clear" w:color="000000" w:fill="C0C0C0"/>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11</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其他各级资本要求（%）（8+9+10）</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6"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12</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满足最低资本要求后的可用核心一级资本净额占风险加权资产的比例（%）</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3.11</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3.26</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3.42</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4.06</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杠杆率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13</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调整后表内外资产余额</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13898161.98</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13647281.83</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13007161.37</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12603916.85</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12669798.24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14</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杠杆率（%）</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5.38</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5.45</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5.63</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6.18</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14a</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杠杆率a（%）</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5.38</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5.45</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5.63</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6.18</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流动性覆盖率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15</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合格优质流动性资产</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16</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现金净流出量</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17</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流动性覆盖率（%）</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净稳定资金比例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18</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可用稳定资金合计</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19</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所需稳定资金合计</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20</w:t>
            </w:r>
          </w:p>
        </w:tc>
        <w:tc>
          <w:tcPr>
            <w:tcW w:w="2222" w:type="dxa"/>
            <w:tcBorders>
              <w:top w:val="nil"/>
              <w:left w:val="nil"/>
              <w:bottom w:val="single" w:color="auto" w:sz="8" w:space="0"/>
              <w:right w:val="single" w:color="auto" w:sz="8" w:space="0"/>
            </w:tcBorders>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净稳定资金比例（%）</w:t>
            </w:r>
          </w:p>
        </w:tc>
        <w:tc>
          <w:tcPr>
            <w:tcW w:w="1627"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6"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55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29" w:type="dxa"/>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c>
          <w:tcPr>
            <w:tcW w:w="1431" w:type="dxa"/>
            <w:gridSpan w:val="2"/>
            <w:tcBorders>
              <w:top w:val="nil"/>
              <w:left w:val="nil"/>
              <w:bottom w:val="single" w:color="auto" w:sz="8" w:space="0"/>
              <w:right w:val="single" w:color="auto" w:sz="8" w:space="0"/>
            </w:tcBorders>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240" w:type="dxa"/>
            <w:gridSpan w:val="8"/>
            <w:tcBorders>
              <w:top w:val="single" w:color="auto" w:sz="8" w:space="0"/>
              <w:left w:val="nil"/>
              <w:bottom w:val="single" w:color="auto" w:sz="8" w:space="0"/>
              <w:right w:val="nil"/>
            </w:tcBorders>
            <w:shd w:val="clear" w:color="000000" w:fill="C0C0C0"/>
            <w:vAlign w:val="center"/>
          </w:tcPr>
          <w:p>
            <w:pPr>
              <w:widowControl/>
              <w:jc w:val="left"/>
              <w:rPr>
                <w:rFonts w:hint="eastAsia" w:ascii="仿宋_GB2312" w:eastAsia="仿宋_GB2312" w:cs="宋体"/>
                <w:b/>
                <w:bCs/>
                <w:color w:val="000000"/>
                <w:kern w:val="0"/>
                <w:sz w:val="22"/>
                <w:szCs w:val="28"/>
              </w:rPr>
            </w:pPr>
            <w:r>
              <w:rPr>
                <w:rFonts w:hint="eastAsia" w:ascii="仿宋_GB2312" w:eastAsia="仿宋_GB2312" w:cs="宋体"/>
                <w:b/>
                <w:bCs/>
                <w:color w:val="000000"/>
                <w:kern w:val="0"/>
                <w:sz w:val="22"/>
                <w:szCs w:val="28"/>
              </w:rPr>
              <w:t>流动性比例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46"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21</w:t>
            </w:r>
          </w:p>
        </w:tc>
        <w:tc>
          <w:tcPr>
            <w:tcW w:w="2222" w:type="dxa"/>
            <w:tcBorders>
              <w:top w:val="nil"/>
              <w:left w:val="nil"/>
              <w:bottom w:val="single" w:color="auto" w:sz="8" w:space="0"/>
              <w:right w:val="single" w:color="auto" w:sz="8" w:space="0"/>
            </w:tcBorders>
            <w:shd w:val="clear" w:color="000000" w:fill="FFFFFF"/>
            <w:vAlign w:val="center"/>
          </w:tcPr>
          <w:p>
            <w:pPr>
              <w:widowControl/>
              <w:jc w:val="left"/>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流动性比例（%）</w:t>
            </w:r>
          </w:p>
        </w:tc>
        <w:tc>
          <w:tcPr>
            <w:tcW w:w="1627"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68.57</w:t>
            </w:r>
          </w:p>
        </w:tc>
        <w:tc>
          <w:tcPr>
            <w:tcW w:w="1426"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77.8</w:t>
            </w:r>
          </w:p>
        </w:tc>
        <w:tc>
          <w:tcPr>
            <w:tcW w:w="155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74.78</w:t>
            </w:r>
          </w:p>
        </w:tc>
        <w:tc>
          <w:tcPr>
            <w:tcW w:w="1429"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75.47</w:t>
            </w:r>
          </w:p>
        </w:tc>
        <w:tc>
          <w:tcPr>
            <w:tcW w:w="1431" w:type="dxa"/>
            <w:gridSpan w:val="2"/>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eastAsia="仿宋_GB2312" w:cs="宋体"/>
                <w:color w:val="000000"/>
                <w:kern w:val="0"/>
                <w:sz w:val="22"/>
                <w:szCs w:val="28"/>
              </w:rPr>
            </w:pPr>
            <w:r>
              <w:rPr>
                <w:rFonts w:hint="eastAsia" w:ascii="仿宋_GB2312" w:eastAsia="仿宋_GB2312" w:cs="宋体"/>
                <w:color w:val="000000"/>
                <w:kern w:val="0"/>
                <w:sz w:val="22"/>
                <w:szCs w:val="28"/>
              </w:rPr>
              <w:t>86.67</w:t>
            </w:r>
          </w:p>
        </w:tc>
      </w:tr>
    </w:tbl>
    <w:p>
      <w:pPr>
        <w:rPr>
          <w:rFonts w:ascii="仿宋_GB2312" w:eastAsia="仿宋_GB2312" w:cs="宋体"/>
          <w:b/>
          <w:color w:val="000000"/>
          <w:kern w:val="0"/>
          <w:sz w:val="22"/>
        </w:rPr>
      </w:pPr>
    </w:p>
    <w:p>
      <w:pPr>
        <w:rPr>
          <w:rFonts w:ascii="仿宋_GB2312" w:eastAsia="仿宋_GB2312" w:cs="宋体"/>
          <w:b/>
          <w:color w:val="000000"/>
          <w:kern w:val="0"/>
          <w:sz w:val="22"/>
        </w:rPr>
      </w:pPr>
    </w:p>
    <w:p>
      <w:pPr>
        <w:tabs>
          <w:tab w:val="left" w:pos="4820"/>
        </w:tabs>
        <w:ind w:left="-708" w:leftChars="-337" w:right="-5384" w:rightChars="-2564"/>
        <w:rPr>
          <w:rFonts w:ascii="仿宋_GB2312" w:eastAsia="仿宋_GB2312" w:cs="宋体"/>
          <w:color w:val="000000"/>
          <w:kern w:val="0"/>
          <w:sz w:val="22"/>
        </w:rPr>
      </w:pPr>
    </w:p>
    <w:sectPr>
      <w:pgSz w:w="11906" w:h="16838"/>
      <w:pgMar w:top="1440" w:right="5385" w:bottom="144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C3AE2"/>
    <w:rsid w:val="00002A5B"/>
    <w:rsid w:val="00002ACB"/>
    <w:rsid w:val="00003204"/>
    <w:rsid w:val="00003FE0"/>
    <w:rsid w:val="000059D8"/>
    <w:rsid w:val="000102BE"/>
    <w:rsid w:val="00011000"/>
    <w:rsid w:val="00014950"/>
    <w:rsid w:val="00025C47"/>
    <w:rsid w:val="0003345B"/>
    <w:rsid w:val="00033C3B"/>
    <w:rsid w:val="0003571D"/>
    <w:rsid w:val="00041A5B"/>
    <w:rsid w:val="0004265D"/>
    <w:rsid w:val="00043948"/>
    <w:rsid w:val="00043B2C"/>
    <w:rsid w:val="00043C9C"/>
    <w:rsid w:val="00043FCC"/>
    <w:rsid w:val="00044500"/>
    <w:rsid w:val="00044612"/>
    <w:rsid w:val="000453FB"/>
    <w:rsid w:val="00046106"/>
    <w:rsid w:val="0005269A"/>
    <w:rsid w:val="0005340B"/>
    <w:rsid w:val="000546C6"/>
    <w:rsid w:val="00054F84"/>
    <w:rsid w:val="00062E01"/>
    <w:rsid w:val="00063D9C"/>
    <w:rsid w:val="00065030"/>
    <w:rsid w:val="00065375"/>
    <w:rsid w:val="00065C82"/>
    <w:rsid w:val="000704FD"/>
    <w:rsid w:val="00074BD9"/>
    <w:rsid w:val="00077734"/>
    <w:rsid w:val="0008328C"/>
    <w:rsid w:val="00084A94"/>
    <w:rsid w:val="00086711"/>
    <w:rsid w:val="000909C1"/>
    <w:rsid w:val="00093804"/>
    <w:rsid w:val="00095A86"/>
    <w:rsid w:val="000964F8"/>
    <w:rsid w:val="00097779"/>
    <w:rsid w:val="000A1674"/>
    <w:rsid w:val="000A1DD9"/>
    <w:rsid w:val="000A2051"/>
    <w:rsid w:val="000A221A"/>
    <w:rsid w:val="000A6943"/>
    <w:rsid w:val="000B1A87"/>
    <w:rsid w:val="000B1F78"/>
    <w:rsid w:val="000B2A2E"/>
    <w:rsid w:val="000B5FF6"/>
    <w:rsid w:val="000C0095"/>
    <w:rsid w:val="000C250C"/>
    <w:rsid w:val="000C59C2"/>
    <w:rsid w:val="000C7DCD"/>
    <w:rsid w:val="000D0675"/>
    <w:rsid w:val="000D25A7"/>
    <w:rsid w:val="000D275C"/>
    <w:rsid w:val="000D36D2"/>
    <w:rsid w:val="000D5AE9"/>
    <w:rsid w:val="000D5BE5"/>
    <w:rsid w:val="000D5F15"/>
    <w:rsid w:val="000D69CF"/>
    <w:rsid w:val="000D764D"/>
    <w:rsid w:val="000D7B5A"/>
    <w:rsid w:val="000D7BE3"/>
    <w:rsid w:val="000E0130"/>
    <w:rsid w:val="000E17EB"/>
    <w:rsid w:val="000E288B"/>
    <w:rsid w:val="000E35E0"/>
    <w:rsid w:val="000E588C"/>
    <w:rsid w:val="000E5EDF"/>
    <w:rsid w:val="000F1DC7"/>
    <w:rsid w:val="000F2055"/>
    <w:rsid w:val="000F339B"/>
    <w:rsid w:val="000F5529"/>
    <w:rsid w:val="000F58A7"/>
    <w:rsid w:val="001009F0"/>
    <w:rsid w:val="00100B9F"/>
    <w:rsid w:val="00100F6D"/>
    <w:rsid w:val="0010226B"/>
    <w:rsid w:val="0010430C"/>
    <w:rsid w:val="001056E0"/>
    <w:rsid w:val="00111F1E"/>
    <w:rsid w:val="00116451"/>
    <w:rsid w:val="00116685"/>
    <w:rsid w:val="00116C95"/>
    <w:rsid w:val="001170B1"/>
    <w:rsid w:val="00120BD8"/>
    <w:rsid w:val="00121944"/>
    <w:rsid w:val="00122E60"/>
    <w:rsid w:val="0012335F"/>
    <w:rsid w:val="00125106"/>
    <w:rsid w:val="00125B55"/>
    <w:rsid w:val="00127ACE"/>
    <w:rsid w:val="00131BE0"/>
    <w:rsid w:val="00131F76"/>
    <w:rsid w:val="00133CB9"/>
    <w:rsid w:val="00134C40"/>
    <w:rsid w:val="00135621"/>
    <w:rsid w:val="00135877"/>
    <w:rsid w:val="00137277"/>
    <w:rsid w:val="001372FD"/>
    <w:rsid w:val="001412F7"/>
    <w:rsid w:val="00141F30"/>
    <w:rsid w:val="0014378C"/>
    <w:rsid w:val="0014694A"/>
    <w:rsid w:val="0014709F"/>
    <w:rsid w:val="00147F4B"/>
    <w:rsid w:val="00150F8B"/>
    <w:rsid w:val="00151410"/>
    <w:rsid w:val="001524A6"/>
    <w:rsid w:val="00155204"/>
    <w:rsid w:val="0015648E"/>
    <w:rsid w:val="00161669"/>
    <w:rsid w:val="001639F3"/>
    <w:rsid w:val="00166E1F"/>
    <w:rsid w:val="00170FFB"/>
    <w:rsid w:val="00171676"/>
    <w:rsid w:val="00171C6B"/>
    <w:rsid w:val="001727AF"/>
    <w:rsid w:val="001742B3"/>
    <w:rsid w:val="00175732"/>
    <w:rsid w:val="00177978"/>
    <w:rsid w:val="001817BF"/>
    <w:rsid w:val="00185416"/>
    <w:rsid w:val="00187318"/>
    <w:rsid w:val="00187DD1"/>
    <w:rsid w:val="0019247E"/>
    <w:rsid w:val="00193258"/>
    <w:rsid w:val="00193905"/>
    <w:rsid w:val="00194661"/>
    <w:rsid w:val="001951FA"/>
    <w:rsid w:val="001956FC"/>
    <w:rsid w:val="00195CA8"/>
    <w:rsid w:val="001A0824"/>
    <w:rsid w:val="001A0BCF"/>
    <w:rsid w:val="001A300D"/>
    <w:rsid w:val="001A4D20"/>
    <w:rsid w:val="001A5BD5"/>
    <w:rsid w:val="001A69E3"/>
    <w:rsid w:val="001B191D"/>
    <w:rsid w:val="001B32B6"/>
    <w:rsid w:val="001B346D"/>
    <w:rsid w:val="001C1C2D"/>
    <w:rsid w:val="001C3371"/>
    <w:rsid w:val="001C3A1A"/>
    <w:rsid w:val="001C53C4"/>
    <w:rsid w:val="001C5927"/>
    <w:rsid w:val="001C6799"/>
    <w:rsid w:val="001C6907"/>
    <w:rsid w:val="001D1E80"/>
    <w:rsid w:val="001D2F28"/>
    <w:rsid w:val="001D4F2E"/>
    <w:rsid w:val="001D57B3"/>
    <w:rsid w:val="001D7516"/>
    <w:rsid w:val="001E02C1"/>
    <w:rsid w:val="001E39E1"/>
    <w:rsid w:val="001E6C94"/>
    <w:rsid w:val="001E7B50"/>
    <w:rsid w:val="001F05C0"/>
    <w:rsid w:val="001F2104"/>
    <w:rsid w:val="001F218C"/>
    <w:rsid w:val="001F2DFF"/>
    <w:rsid w:val="001F6F95"/>
    <w:rsid w:val="00200343"/>
    <w:rsid w:val="002005F4"/>
    <w:rsid w:val="00200EAB"/>
    <w:rsid w:val="00203B4A"/>
    <w:rsid w:val="00203DF8"/>
    <w:rsid w:val="0020569F"/>
    <w:rsid w:val="00205DDC"/>
    <w:rsid w:val="00207CA0"/>
    <w:rsid w:val="00214E8B"/>
    <w:rsid w:val="00215FD9"/>
    <w:rsid w:val="00221B36"/>
    <w:rsid w:val="002223E4"/>
    <w:rsid w:val="002240F7"/>
    <w:rsid w:val="00225340"/>
    <w:rsid w:val="0022542C"/>
    <w:rsid w:val="002267D3"/>
    <w:rsid w:val="002268E3"/>
    <w:rsid w:val="002277C8"/>
    <w:rsid w:val="00227EF0"/>
    <w:rsid w:val="00230FE2"/>
    <w:rsid w:val="00231274"/>
    <w:rsid w:val="00231E01"/>
    <w:rsid w:val="0023250D"/>
    <w:rsid w:val="002348ED"/>
    <w:rsid w:val="002379DD"/>
    <w:rsid w:val="002403BD"/>
    <w:rsid w:val="002406ED"/>
    <w:rsid w:val="002432FE"/>
    <w:rsid w:val="0024399E"/>
    <w:rsid w:val="00243EB4"/>
    <w:rsid w:val="002445C1"/>
    <w:rsid w:val="00244703"/>
    <w:rsid w:val="002456ED"/>
    <w:rsid w:val="00246980"/>
    <w:rsid w:val="00250851"/>
    <w:rsid w:val="00251402"/>
    <w:rsid w:val="00251EB4"/>
    <w:rsid w:val="0025299F"/>
    <w:rsid w:val="00252A27"/>
    <w:rsid w:val="00252AC9"/>
    <w:rsid w:val="00255138"/>
    <w:rsid w:val="002573F9"/>
    <w:rsid w:val="002579A3"/>
    <w:rsid w:val="0026139A"/>
    <w:rsid w:val="00261759"/>
    <w:rsid w:val="00262B45"/>
    <w:rsid w:val="00262FB3"/>
    <w:rsid w:val="00263C64"/>
    <w:rsid w:val="00266880"/>
    <w:rsid w:val="002717DD"/>
    <w:rsid w:val="00274DF5"/>
    <w:rsid w:val="00275311"/>
    <w:rsid w:val="00276E35"/>
    <w:rsid w:val="00277079"/>
    <w:rsid w:val="0028182B"/>
    <w:rsid w:val="0028283C"/>
    <w:rsid w:val="002828F9"/>
    <w:rsid w:val="00286642"/>
    <w:rsid w:val="00286B4B"/>
    <w:rsid w:val="002911E4"/>
    <w:rsid w:val="00291BC6"/>
    <w:rsid w:val="002928B7"/>
    <w:rsid w:val="002949C2"/>
    <w:rsid w:val="00294B1C"/>
    <w:rsid w:val="00296A06"/>
    <w:rsid w:val="00297505"/>
    <w:rsid w:val="002A1C51"/>
    <w:rsid w:val="002A1F4C"/>
    <w:rsid w:val="002A2D94"/>
    <w:rsid w:val="002A4498"/>
    <w:rsid w:val="002A493E"/>
    <w:rsid w:val="002A51A7"/>
    <w:rsid w:val="002A54EC"/>
    <w:rsid w:val="002A5A23"/>
    <w:rsid w:val="002A5E67"/>
    <w:rsid w:val="002A5F53"/>
    <w:rsid w:val="002A6A78"/>
    <w:rsid w:val="002B10E7"/>
    <w:rsid w:val="002B28D0"/>
    <w:rsid w:val="002B60F8"/>
    <w:rsid w:val="002B6C48"/>
    <w:rsid w:val="002C0F26"/>
    <w:rsid w:val="002C2657"/>
    <w:rsid w:val="002C2C06"/>
    <w:rsid w:val="002C3AE2"/>
    <w:rsid w:val="002C7BAD"/>
    <w:rsid w:val="002D09AA"/>
    <w:rsid w:val="002D0A06"/>
    <w:rsid w:val="002D1D7E"/>
    <w:rsid w:val="002D378A"/>
    <w:rsid w:val="002D3EF6"/>
    <w:rsid w:val="002D41BB"/>
    <w:rsid w:val="002D4A46"/>
    <w:rsid w:val="002D5909"/>
    <w:rsid w:val="002D68BC"/>
    <w:rsid w:val="002E01C2"/>
    <w:rsid w:val="002E1D35"/>
    <w:rsid w:val="002E555F"/>
    <w:rsid w:val="002F0785"/>
    <w:rsid w:val="002F2F41"/>
    <w:rsid w:val="002F655B"/>
    <w:rsid w:val="002F678C"/>
    <w:rsid w:val="00301119"/>
    <w:rsid w:val="00301945"/>
    <w:rsid w:val="00301E91"/>
    <w:rsid w:val="00302246"/>
    <w:rsid w:val="0030248B"/>
    <w:rsid w:val="00303AD5"/>
    <w:rsid w:val="00303C8C"/>
    <w:rsid w:val="003045CE"/>
    <w:rsid w:val="00305AD2"/>
    <w:rsid w:val="00310897"/>
    <w:rsid w:val="00310AA3"/>
    <w:rsid w:val="00310BE6"/>
    <w:rsid w:val="00312607"/>
    <w:rsid w:val="003137DB"/>
    <w:rsid w:val="00314394"/>
    <w:rsid w:val="003200F4"/>
    <w:rsid w:val="003202C9"/>
    <w:rsid w:val="003216CD"/>
    <w:rsid w:val="003249A3"/>
    <w:rsid w:val="00327748"/>
    <w:rsid w:val="00327867"/>
    <w:rsid w:val="00330A12"/>
    <w:rsid w:val="0033283B"/>
    <w:rsid w:val="003338FE"/>
    <w:rsid w:val="003354FA"/>
    <w:rsid w:val="00335680"/>
    <w:rsid w:val="00336022"/>
    <w:rsid w:val="00336F22"/>
    <w:rsid w:val="003374DF"/>
    <w:rsid w:val="00340536"/>
    <w:rsid w:val="00342061"/>
    <w:rsid w:val="00345B61"/>
    <w:rsid w:val="00352218"/>
    <w:rsid w:val="00352A32"/>
    <w:rsid w:val="0035385A"/>
    <w:rsid w:val="00354A2D"/>
    <w:rsid w:val="00355194"/>
    <w:rsid w:val="00355CF1"/>
    <w:rsid w:val="00355F80"/>
    <w:rsid w:val="00357EEE"/>
    <w:rsid w:val="003606FF"/>
    <w:rsid w:val="00362CA3"/>
    <w:rsid w:val="003643DD"/>
    <w:rsid w:val="00365F72"/>
    <w:rsid w:val="00366FB1"/>
    <w:rsid w:val="00370EAD"/>
    <w:rsid w:val="0037165E"/>
    <w:rsid w:val="00371E60"/>
    <w:rsid w:val="0037217A"/>
    <w:rsid w:val="00373524"/>
    <w:rsid w:val="00377283"/>
    <w:rsid w:val="0037756A"/>
    <w:rsid w:val="00377D24"/>
    <w:rsid w:val="00382517"/>
    <w:rsid w:val="00391CED"/>
    <w:rsid w:val="003933AA"/>
    <w:rsid w:val="00393483"/>
    <w:rsid w:val="00393997"/>
    <w:rsid w:val="00393E94"/>
    <w:rsid w:val="00394408"/>
    <w:rsid w:val="00395D08"/>
    <w:rsid w:val="003969D0"/>
    <w:rsid w:val="00396B21"/>
    <w:rsid w:val="00396B26"/>
    <w:rsid w:val="00396E8A"/>
    <w:rsid w:val="00397797"/>
    <w:rsid w:val="003A19FB"/>
    <w:rsid w:val="003A1BA7"/>
    <w:rsid w:val="003A437E"/>
    <w:rsid w:val="003A4600"/>
    <w:rsid w:val="003A5ABE"/>
    <w:rsid w:val="003B0EB0"/>
    <w:rsid w:val="003B1003"/>
    <w:rsid w:val="003B1C32"/>
    <w:rsid w:val="003C24FC"/>
    <w:rsid w:val="003C3413"/>
    <w:rsid w:val="003C67CD"/>
    <w:rsid w:val="003C6CCE"/>
    <w:rsid w:val="003C722D"/>
    <w:rsid w:val="003D09CA"/>
    <w:rsid w:val="003D229A"/>
    <w:rsid w:val="003D2C15"/>
    <w:rsid w:val="003D3117"/>
    <w:rsid w:val="003D6427"/>
    <w:rsid w:val="003D7279"/>
    <w:rsid w:val="003D75CC"/>
    <w:rsid w:val="003E15AF"/>
    <w:rsid w:val="003E1634"/>
    <w:rsid w:val="003E2664"/>
    <w:rsid w:val="003E394F"/>
    <w:rsid w:val="003E3989"/>
    <w:rsid w:val="003E5A37"/>
    <w:rsid w:val="003E5AE2"/>
    <w:rsid w:val="003E663B"/>
    <w:rsid w:val="003F15E0"/>
    <w:rsid w:val="003F58E2"/>
    <w:rsid w:val="003F6FA3"/>
    <w:rsid w:val="003F7F71"/>
    <w:rsid w:val="00400B13"/>
    <w:rsid w:val="004039A2"/>
    <w:rsid w:val="00404B91"/>
    <w:rsid w:val="00406C0B"/>
    <w:rsid w:val="004113A1"/>
    <w:rsid w:val="00412218"/>
    <w:rsid w:val="00414357"/>
    <w:rsid w:val="00414765"/>
    <w:rsid w:val="004152F5"/>
    <w:rsid w:val="00415752"/>
    <w:rsid w:val="00415B27"/>
    <w:rsid w:val="004172BD"/>
    <w:rsid w:val="004213CA"/>
    <w:rsid w:val="00422EB5"/>
    <w:rsid w:val="00423012"/>
    <w:rsid w:val="004231F0"/>
    <w:rsid w:val="004247C1"/>
    <w:rsid w:val="004269AF"/>
    <w:rsid w:val="0043072D"/>
    <w:rsid w:val="00430EFF"/>
    <w:rsid w:val="00433A66"/>
    <w:rsid w:val="004356D2"/>
    <w:rsid w:val="004426BD"/>
    <w:rsid w:val="0044300D"/>
    <w:rsid w:val="00443327"/>
    <w:rsid w:val="00443E0F"/>
    <w:rsid w:val="00444AD1"/>
    <w:rsid w:val="00450660"/>
    <w:rsid w:val="004512CE"/>
    <w:rsid w:val="00454490"/>
    <w:rsid w:val="0045569E"/>
    <w:rsid w:val="00455DA0"/>
    <w:rsid w:val="00456960"/>
    <w:rsid w:val="00457063"/>
    <w:rsid w:val="00461640"/>
    <w:rsid w:val="00463958"/>
    <w:rsid w:val="00464ECF"/>
    <w:rsid w:val="004650B5"/>
    <w:rsid w:val="00465309"/>
    <w:rsid w:val="00466B6B"/>
    <w:rsid w:val="00467770"/>
    <w:rsid w:val="00471607"/>
    <w:rsid w:val="00471C60"/>
    <w:rsid w:val="00472BDC"/>
    <w:rsid w:val="0047363C"/>
    <w:rsid w:val="0047386B"/>
    <w:rsid w:val="0047426B"/>
    <w:rsid w:val="004768D7"/>
    <w:rsid w:val="00477714"/>
    <w:rsid w:val="0048215E"/>
    <w:rsid w:val="00482201"/>
    <w:rsid w:val="0048248A"/>
    <w:rsid w:val="0048385C"/>
    <w:rsid w:val="00483903"/>
    <w:rsid w:val="0048564D"/>
    <w:rsid w:val="00490064"/>
    <w:rsid w:val="004906C8"/>
    <w:rsid w:val="004911EF"/>
    <w:rsid w:val="004918C2"/>
    <w:rsid w:val="00492BC0"/>
    <w:rsid w:val="00493C97"/>
    <w:rsid w:val="0049448D"/>
    <w:rsid w:val="00494FC8"/>
    <w:rsid w:val="00495C7C"/>
    <w:rsid w:val="004A77A8"/>
    <w:rsid w:val="004B04FE"/>
    <w:rsid w:val="004B114D"/>
    <w:rsid w:val="004B1E53"/>
    <w:rsid w:val="004B52D5"/>
    <w:rsid w:val="004B640D"/>
    <w:rsid w:val="004B6F3F"/>
    <w:rsid w:val="004B7111"/>
    <w:rsid w:val="004B7F12"/>
    <w:rsid w:val="004C795F"/>
    <w:rsid w:val="004D0303"/>
    <w:rsid w:val="004D0A49"/>
    <w:rsid w:val="004D0B04"/>
    <w:rsid w:val="004D3523"/>
    <w:rsid w:val="004D4280"/>
    <w:rsid w:val="004D42B1"/>
    <w:rsid w:val="004D49A1"/>
    <w:rsid w:val="004D6F06"/>
    <w:rsid w:val="004D77F1"/>
    <w:rsid w:val="004E026E"/>
    <w:rsid w:val="004E064B"/>
    <w:rsid w:val="004E2987"/>
    <w:rsid w:val="004E3526"/>
    <w:rsid w:val="004E4EFC"/>
    <w:rsid w:val="004E60B7"/>
    <w:rsid w:val="004E6E2E"/>
    <w:rsid w:val="004F2B69"/>
    <w:rsid w:val="004F3867"/>
    <w:rsid w:val="004F3CE9"/>
    <w:rsid w:val="004F4380"/>
    <w:rsid w:val="004F4F8C"/>
    <w:rsid w:val="004F6345"/>
    <w:rsid w:val="004F6A2B"/>
    <w:rsid w:val="0050025A"/>
    <w:rsid w:val="00503C7A"/>
    <w:rsid w:val="005043E9"/>
    <w:rsid w:val="005046F6"/>
    <w:rsid w:val="00504BB1"/>
    <w:rsid w:val="00505324"/>
    <w:rsid w:val="0050585F"/>
    <w:rsid w:val="005078F4"/>
    <w:rsid w:val="00512B28"/>
    <w:rsid w:val="005144C9"/>
    <w:rsid w:val="00514B71"/>
    <w:rsid w:val="00515093"/>
    <w:rsid w:val="005221F3"/>
    <w:rsid w:val="00524FA6"/>
    <w:rsid w:val="00525DB5"/>
    <w:rsid w:val="00526A37"/>
    <w:rsid w:val="00532863"/>
    <w:rsid w:val="00532D71"/>
    <w:rsid w:val="00535032"/>
    <w:rsid w:val="00537F84"/>
    <w:rsid w:val="0054114F"/>
    <w:rsid w:val="0054368D"/>
    <w:rsid w:val="0054376F"/>
    <w:rsid w:val="00543FFF"/>
    <w:rsid w:val="00553A73"/>
    <w:rsid w:val="00553FC1"/>
    <w:rsid w:val="0055458D"/>
    <w:rsid w:val="00555B22"/>
    <w:rsid w:val="00556307"/>
    <w:rsid w:val="00557B28"/>
    <w:rsid w:val="00557E57"/>
    <w:rsid w:val="0056103E"/>
    <w:rsid w:val="00563BC2"/>
    <w:rsid w:val="00564270"/>
    <w:rsid w:val="00564F02"/>
    <w:rsid w:val="0056687A"/>
    <w:rsid w:val="00570395"/>
    <w:rsid w:val="00570DC7"/>
    <w:rsid w:val="00571B02"/>
    <w:rsid w:val="00571ED4"/>
    <w:rsid w:val="0057305C"/>
    <w:rsid w:val="0057351F"/>
    <w:rsid w:val="00573D51"/>
    <w:rsid w:val="00575650"/>
    <w:rsid w:val="00575EA2"/>
    <w:rsid w:val="00580E59"/>
    <w:rsid w:val="00581049"/>
    <w:rsid w:val="0058111F"/>
    <w:rsid w:val="00581F30"/>
    <w:rsid w:val="005826B4"/>
    <w:rsid w:val="005832E2"/>
    <w:rsid w:val="00584280"/>
    <w:rsid w:val="0058459E"/>
    <w:rsid w:val="00585A1E"/>
    <w:rsid w:val="00585FD9"/>
    <w:rsid w:val="00586314"/>
    <w:rsid w:val="00586777"/>
    <w:rsid w:val="005909C4"/>
    <w:rsid w:val="005953FB"/>
    <w:rsid w:val="005A050C"/>
    <w:rsid w:val="005A37E0"/>
    <w:rsid w:val="005A3D3D"/>
    <w:rsid w:val="005A60A9"/>
    <w:rsid w:val="005A6945"/>
    <w:rsid w:val="005B0058"/>
    <w:rsid w:val="005B0602"/>
    <w:rsid w:val="005B06F3"/>
    <w:rsid w:val="005B0F74"/>
    <w:rsid w:val="005B4098"/>
    <w:rsid w:val="005B671C"/>
    <w:rsid w:val="005B6CD9"/>
    <w:rsid w:val="005B70FB"/>
    <w:rsid w:val="005C0ABF"/>
    <w:rsid w:val="005C1024"/>
    <w:rsid w:val="005C2247"/>
    <w:rsid w:val="005C3260"/>
    <w:rsid w:val="005C57F3"/>
    <w:rsid w:val="005C5938"/>
    <w:rsid w:val="005C6243"/>
    <w:rsid w:val="005D0F61"/>
    <w:rsid w:val="005D3CCC"/>
    <w:rsid w:val="005D71CD"/>
    <w:rsid w:val="005D7235"/>
    <w:rsid w:val="005E3297"/>
    <w:rsid w:val="005E417D"/>
    <w:rsid w:val="005E47AB"/>
    <w:rsid w:val="005E4985"/>
    <w:rsid w:val="005E4C5F"/>
    <w:rsid w:val="005E5544"/>
    <w:rsid w:val="005E5B78"/>
    <w:rsid w:val="005E6424"/>
    <w:rsid w:val="005E6815"/>
    <w:rsid w:val="005E6C9A"/>
    <w:rsid w:val="005F0955"/>
    <w:rsid w:val="005F2087"/>
    <w:rsid w:val="005F3ABF"/>
    <w:rsid w:val="005F56F1"/>
    <w:rsid w:val="005F5EBD"/>
    <w:rsid w:val="005F666A"/>
    <w:rsid w:val="005F67E0"/>
    <w:rsid w:val="005F6C87"/>
    <w:rsid w:val="005F6E12"/>
    <w:rsid w:val="00601B89"/>
    <w:rsid w:val="00601FC5"/>
    <w:rsid w:val="006023CC"/>
    <w:rsid w:val="00604CBB"/>
    <w:rsid w:val="00607D18"/>
    <w:rsid w:val="00610A39"/>
    <w:rsid w:val="006115A8"/>
    <w:rsid w:val="0061219A"/>
    <w:rsid w:val="00612A04"/>
    <w:rsid w:val="00613461"/>
    <w:rsid w:val="00614E54"/>
    <w:rsid w:val="00615854"/>
    <w:rsid w:val="00616E70"/>
    <w:rsid w:val="0062253C"/>
    <w:rsid w:val="00622B6B"/>
    <w:rsid w:val="00622CE5"/>
    <w:rsid w:val="00623111"/>
    <w:rsid w:val="006244C6"/>
    <w:rsid w:val="00625EA5"/>
    <w:rsid w:val="00626239"/>
    <w:rsid w:val="006262CC"/>
    <w:rsid w:val="006316D3"/>
    <w:rsid w:val="006339FB"/>
    <w:rsid w:val="0063715A"/>
    <w:rsid w:val="00637C4D"/>
    <w:rsid w:val="006436BE"/>
    <w:rsid w:val="00651F9B"/>
    <w:rsid w:val="00652D1F"/>
    <w:rsid w:val="006533D8"/>
    <w:rsid w:val="00653C9E"/>
    <w:rsid w:val="00660507"/>
    <w:rsid w:val="006634E4"/>
    <w:rsid w:val="006640AA"/>
    <w:rsid w:val="00665A78"/>
    <w:rsid w:val="00667DC9"/>
    <w:rsid w:val="00670001"/>
    <w:rsid w:val="006733AA"/>
    <w:rsid w:val="00673865"/>
    <w:rsid w:val="006764B6"/>
    <w:rsid w:val="00680986"/>
    <w:rsid w:val="006840BE"/>
    <w:rsid w:val="00684434"/>
    <w:rsid w:val="006862EF"/>
    <w:rsid w:val="00686A2A"/>
    <w:rsid w:val="00686C34"/>
    <w:rsid w:val="00687339"/>
    <w:rsid w:val="00692A6C"/>
    <w:rsid w:val="00693111"/>
    <w:rsid w:val="006932DA"/>
    <w:rsid w:val="00695711"/>
    <w:rsid w:val="006A0154"/>
    <w:rsid w:val="006A4427"/>
    <w:rsid w:val="006A4B34"/>
    <w:rsid w:val="006A70E3"/>
    <w:rsid w:val="006B0EDF"/>
    <w:rsid w:val="006B228F"/>
    <w:rsid w:val="006B2977"/>
    <w:rsid w:val="006B3934"/>
    <w:rsid w:val="006B3A24"/>
    <w:rsid w:val="006B4AED"/>
    <w:rsid w:val="006B4BE7"/>
    <w:rsid w:val="006B5ACA"/>
    <w:rsid w:val="006B6F6F"/>
    <w:rsid w:val="006C15B1"/>
    <w:rsid w:val="006C1774"/>
    <w:rsid w:val="006C2D84"/>
    <w:rsid w:val="006C4EE6"/>
    <w:rsid w:val="006C5EF5"/>
    <w:rsid w:val="006D1454"/>
    <w:rsid w:val="006D2DAA"/>
    <w:rsid w:val="006D3030"/>
    <w:rsid w:val="006D45B9"/>
    <w:rsid w:val="006D65D2"/>
    <w:rsid w:val="006D76DA"/>
    <w:rsid w:val="006E1DE3"/>
    <w:rsid w:val="006E33C8"/>
    <w:rsid w:val="006E41C1"/>
    <w:rsid w:val="006E5E82"/>
    <w:rsid w:val="006F01A8"/>
    <w:rsid w:val="006F1886"/>
    <w:rsid w:val="006F1B70"/>
    <w:rsid w:val="006F28F8"/>
    <w:rsid w:val="006F3889"/>
    <w:rsid w:val="006F3B01"/>
    <w:rsid w:val="00700C0E"/>
    <w:rsid w:val="007015D9"/>
    <w:rsid w:val="0070387D"/>
    <w:rsid w:val="00704C29"/>
    <w:rsid w:val="00705A18"/>
    <w:rsid w:val="00705CBD"/>
    <w:rsid w:val="00711D5A"/>
    <w:rsid w:val="00711EAA"/>
    <w:rsid w:val="0071402C"/>
    <w:rsid w:val="00714ED9"/>
    <w:rsid w:val="00721974"/>
    <w:rsid w:val="00721DF5"/>
    <w:rsid w:val="00722B9B"/>
    <w:rsid w:val="00723EEA"/>
    <w:rsid w:val="00724A39"/>
    <w:rsid w:val="00726516"/>
    <w:rsid w:val="00726F2D"/>
    <w:rsid w:val="00732293"/>
    <w:rsid w:val="007342B4"/>
    <w:rsid w:val="007352F1"/>
    <w:rsid w:val="00735B4B"/>
    <w:rsid w:val="0074148E"/>
    <w:rsid w:val="007435C4"/>
    <w:rsid w:val="00743795"/>
    <w:rsid w:val="007439D5"/>
    <w:rsid w:val="00746A41"/>
    <w:rsid w:val="00746D9B"/>
    <w:rsid w:val="00747869"/>
    <w:rsid w:val="00752037"/>
    <w:rsid w:val="00752BCF"/>
    <w:rsid w:val="007538EA"/>
    <w:rsid w:val="00754463"/>
    <w:rsid w:val="0075485B"/>
    <w:rsid w:val="007568E5"/>
    <w:rsid w:val="00756EBC"/>
    <w:rsid w:val="0075757A"/>
    <w:rsid w:val="00757BEC"/>
    <w:rsid w:val="00757C7E"/>
    <w:rsid w:val="00761237"/>
    <w:rsid w:val="00761D48"/>
    <w:rsid w:val="00762AD1"/>
    <w:rsid w:val="00771E15"/>
    <w:rsid w:val="00772030"/>
    <w:rsid w:val="0077358F"/>
    <w:rsid w:val="007827FC"/>
    <w:rsid w:val="00783C88"/>
    <w:rsid w:val="00784F18"/>
    <w:rsid w:val="00785626"/>
    <w:rsid w:val="00786220"/>
    <w:rsid w:val="007862C8"/>
    <w:rsid w:val="00787653"/>
    <w:rsid w:val="00790DC1"/>
    <w:rsid w:val="00791556"/>
    <w:rsid w:val="00792B30"/>
    <w:rsid w:val="007936D1"/>
    <w:rsid w:val="00794BCD"/>
    <w:rsid w:val="0079527A"/>
    <w:rsid w:val="00796D42"/>
    <w:rsid w:val="00797055"/>
    <w:rsid w:val="007A21B4"/>
    <w:rsid w:val="007A2CE0"/>
    <w:rsid w:val="007A66DD"/>
    <w:rsid w:val="007B097B"/>
    <w:rsid w:val="007B1AD2"/>
    <w:rsid w:val="007B3216"/>
    <w:rsid w:val="007B3465"/>
    <w:rsid w:val="007B3BD0"/>
    <w:rsid w:val="007B4A5F"/>
    <w:rsid w:val="007B5A0D"/>
    <w:rsid w:val="007B64DD"/>
    <w:rsid w:val="007C034C"/>
    <w:rsid w:val="007C0805"/>
    <w:rsid w:val="007C0C3C"/>
    <w:rsid w:val="007C448B"/>
    <w:rsid w:val="007C466F"/>
    <w:rsid w:val="007C47A9"/>
    <w:rsid w:val="007C56CF"/>
    <w:rsid w:val="007C5D8C"/>
    <w:rsid w:val="007C7BD6"/>
    <w:rsid w:val="007D0583"/>
    <w:rsid w:val="007D415C"/>
    <w:rsid w:val="007E021C"/>
    <w:rsid w:val="007E072A"/>
    <w:rsid w:val="007E30FA"/>
    <w:rsid w:val="007E5549"/>
    <w:rsid w:val="007E7BD7"/>
    <w:rsid w:val="007F161F"/>
    <w:rsid w:val="007F1CCD"/>
    <w:rsid w:val="007F1DF7"/>
    <w:rsid w:val="007F2F9E"/>
    <w:rsid w:val="007F46EE"/>
    <w:rsid w:val="007F5D0F"/>
    <w:rsid w:val="007F61D6"/>
    <w:rsid w:val="007F6A43"/>
    <w:rsid w:val="007F6E8B"/>
    <w:rsid w:val="00800ACE"/>
    <w:rsid w:val="008015FA"/>
    <w:rsid w:val="00801703"/>
    <w:rsid w:val="00801F68"/>
    <w:rsid w:val="00802B0A"/>
    <w:rsid w:val="00804D08"/>
    <w:rsid w:val="008056B2"/>
    <w:rsid w:val="00805B7E"/>
    <w:rsid w:val="00805BDD"/>
    <w:rsid w:val="008104FC"/>
    <w:rsid w:val="00811765"/>
    <w:rsid w:val="00813588"/>
    <w:rsid w:val="00813643"/>
    <w:rsid w:val="0081364E"/>
    <w:rsid w:val="00820434"/>
    <w:rsid w:val="008234AF"/>
    <w:rsid w:val="00827511"/>
    <w:rsid w:val="00827738"/>
    <w:rsid w:val="00833D20"/>
    <w:rsid w:val="00834055"/>
    <w:rsid w:val="00835929"/>
    <w:rsid w:val="00835997"/>
    <w:rsid w:val="008360C0"/>
    <w:rsid w:val="00836E9F"/>
    <w:rsid w:val="00842326"/>
    <w:rsid w:val="00843064"/>
    <w:rsid w:val="0084459D"/>
    <w:rsid w:val="00844AEF"/>
    <w:rsid w:val="0084578C"/>
    <w:rsid w:val="00847000"/>
    <w:rsid w:val="00850570"/>
    <w:rsid w:val="00850C83"/>
    <w:rsid w:val="0085248B"/>
    <w:rsid w:val="00855F70"/>
    <w:rsid w:val="00855FAA"/>
    <w:rsid w:val="0086063E"/>
    <w:rsid w:val="00860AF2"/>
    <w:rsid w:val="008617A2"/>
    <w:rsid w:val="00865BC0"/>
    <w:rsid w:val="008712F9"/>
    <w:rsid w:val="0087199B"/>
    <w:rsid w:val="008736DA"/>
    <w:rsid w:val="00875082"/>
    <w:rsid w:val="00876F43"/>
    <w:rsid w:val="008809B1"/>
    <w:rsid w:val="00880C31"/>
    <w:rsid w:val="00881C14"/>
    <w:rsid w:val="00885275"/>
    <w:rsid w:val="00886444"/>
    <w:rsid w:val="008901EA"/>
    <w:rsid w:val="00891804"/>
    <w:rsid w:val="008923DF"/>
    <w:rsid w:val="008935A9"/>
    <w:rsid w:val="00894DFD"/>
    <w:rsid w:val="00895687"/>
    <w:rsid w:val="008979BA"/>
    <w:rsid w:val="00897A78"/>
    <w:rsid w:val="008A064D"/>
    <w:rsid w:val="008A0B03"/>
    <w:rsid w:val="008A1CA3"/>
    <w:rsid w:val="008A2084"/>
    <w:rsid w:val="008A30AF"/>
    <w:rsid w:val="008A417A"/>
    <w:rsid w:val="008A5B81"/>
    <w:rsid w:val="008A78F3"/>
    <w:rsid w:val="008B0CE7"/>
    <w:rsid w:val="008B33AE"/>
    <w:rsid w:val="008B4A0B"/>
    <w:rsid w:val="008B5354"/>
    <w:rsid w:val="008B60E0"/>
    <w:rsid w:val="008B6BA6"/>
    <w:rsid w:val="008C0675"/>
    <w:rsid w:val="008C3259"/>
    <w:rsid w:val="008D0ABC"/>
    <w:rsid w:val="008D15C6"/>
    <w:rsid w:val="008D16FA"/>
    <w:rsid w:val="008D1914"/>
    <w:rsid w:val="008D1D86"/>
    <w:rsid w:val="008D292D"/>
    <w:rsid w:val="008D3FBD"/>
    <w:rsid w:val="008D4D40"/>
    <w:rsid w:val="008D5A8E"/>
    <w:rsid w:val="008E2848"/>
    <w:rsid w:val="008E499F"/>
    <w:rsid w:val="008E4FF5"/>
    <w:rsid w:val="008F19CA"/>
    <w:rsid w:val="008F1DDB"/>
    <w:rsid w:val="008F20E8"/>
    <w:rsid w:val="008F3C6F"/>
    <w:rsid w:val="008F5586"/>
    <w:rsid w:val="00902970"/>
    <w:rsid w:val="00903473"/>
    <w:rsid w:val="00904739"/>
    <w:rsid w:val="00904ADD"/>
    <w:rsid w:val="00906E61"/>
    <w:rsid w:val="00907693"/>
    <w:rsid w:val="00910491"/>
    <w:rsid w:val="009145C0"/>
    <w:rsid w:val="00915D14"/>
    <w:rsid w:val="00916AC1"/>
    <w:rsid w:val="00924B12"/>
    <w:rsid w:val="009262EE"/>
    <w:rsid w:val="00931A3D"/>
    <w:rsid w:val="0093489E"/>
    <w:rsid w:val="00937B4A"/>
    <w:rsid w:val="00944A4B"/>
    <w:rsid w:val="00945235"/>
    <w:rsid w:val="00945BBA"/>
    <w:rsid w:val="00945C5D"/>
    <w:rsid w:val="00951A14"/>
    <w:rsid w:val="00951A3C"/>
    <w:rsid w:val="009531EE"/>
    <w:rsid w:val="0096131E"/>
    <w:rsid w:val="009615EA"/>
    <w:rsid w:val="0096292D"/>
    <w:rsid w:val="00963CE6"/>
    <w:rsid w:val="00964348"/>
    <w:rsid w:val="00965C08"/>
    <w:rsid w:val="0096604F"/>
    <w:rsid w:val="0097044D"/>
    <w:rsid w:val="0097080E"/>
    <w:rsid w:val="00972E4B"/>
    <w:rsid w:val="0097362D"/>
    <w:rsid w:val="0097395C"/>
    <w:rsid w:val="00974519"/>
    <w:rsid w:val="00974ACB"/>
    <w:rsid w:val="00974B6E"/>
    <w:rsid w:val="009750E6"/>
    <w:rsid w:val="00975E03"/>
    <w:rsid w:val="00982224"/>
    <w:rsid w:val="00984E0F"/>
    <w:rsid w:val="00985FC5"/>
    <w:rsid w:val="0098681C"/>
    <w:rsid w:val="00987A4D"/>
    <w:rsid w:val="00990FB3"/>
    <w:rsid w:val="00992270"/>
    <w:rsid w:val="009931F1"/>
    <w:rsid w:val="009941F4"/>
    <w:rsid w:val="00994433"/>
    <w:rsid w:val="0099481B"/>
    <w:rsid w:val="00995C27"/>
    <w:rsid w:val="009962F8"/>
    <w:rsid w:val="009966F5"/>
    <w:rsid w:val="00996A80"/>
    <w:rsid w:val="00997A75"/>
    <w:rsid w:val="009A28AE"/>
    <w:rsid w:val="009A2B7A"/>
    <w:rsid w:val="009A3915"/>
    <w:rsid w:val="009A3F9D"/>
    <w:rsid w:val="009A551F"/>
    <w:rsid w:val="009A67E7"/>
    <w:rsid w:val="009B0864"/>
    <w:rsid w:val="009B5049"/>
    <w:rsid w:val="009B6297"/>
    <w:rsid w:val="009C179F"/>
    <w:rsid w:val="009C4E4F"/>
    <w:rsid w:val="009D03F5"/>
    <w:rsid w:val="009D1271"/>
    <w:rsid w:val="009D26D2"/>
    <w:rsid w:val="009D36B2"/>
    <w:rsid w:val="009D4313"/>
    <w:rsid w:val="009D6F5A"/>
    <w:rsid w:val="009E3CF0"/>
    <w:rsid w:val="009E4D65"/>
    <w:rsid w:val="009E5610"/>
    <w:rsid w:val="009E68E1"/>
    <w:rsid w:val="009E6FD8"/>
    <w:rsid w:val="009F49FB"/>
    <w:rsid w:val="00A00302"/>
    <w:rsid w:val="00A007A8"/>
    <w:rsid w:val="00A0180C"/>
    <w:rsid w:val="00A03EE4"/>
    <w:rsid w:val="00A10217"/>
    <w:rsid w:val="00A1318C"/>
    <w:rsid w:val="00A1328D"/>
    <w:rsid w:val="00A1356C"/>
    <w:rsid w:val="00A140F7"/>
    <w:rsid w:val="00A1469D"/>
    <w:rsid w:val="00A17CBE"/>
    <w:rsid w:val="00A20E78"/>
    <w:rsid w:val="00A22472"/>
    <w:rsid w:val="00A23632"/>
    <w:rsid w:val="00A269FE"/>
    <w:rsid w:val="00A309F5"/>
    <w:rsid w:val="00A310E7"/>
    <w:rsid w:val="00A32CD6"/>
    <w:rsid w:val="00A33257"/>
    <w:rsid w:val="00A332EF"/>
    <w:rsid w:val="00A35A58"/>
    <w:rsid w:val="00A35E3A"/>
    <w:rsid w:val="00A37AC5"/>
    <w:rsid w:val="00A40A45"/>
    <w:rsid w:val="00A4135E"/>
    <w:rsid w:val="00A4487A"/>
    <w:rsid w:val="00A46A8B"/>
    <w:rsid w:val="00A46B24"/>
    <w:rsid w:val="00A515FA"/>
    <w:rsid w:val="00A52736"/>
    <w:rsid w:val="00A5538B"/>
    <w:rsid w:val="00A553D4"/>
    <w:rsid w:val="00A564CF"/>
    <w:rsid w:val="00A60173"/>
    <w:rsid w:val="00A60642"/>
    <w:rsid w:val="00A61330"/>
    <w:rsid w:val="00A6184B"/>
    <w:rsid w:val="00A62EB9"/>
    <w:rsid w:val="00A6504C"/>
    <w:rsid w:val="00A654E3"/>
    <w:rsid w:val="00A7110F"/>
    <w:rsid w:val="00A71A5C"/>
    <w:rsid w:val="00A7400B"/>
    <w:rsid w:val="00A74097"/>
    <w:rsid w:val="00A743A8"/>
    <w:rsid w:val="00A746BC"/>
    <w:rsid w:val="00A7599B"/>
    <w:rsid w:val="00A76210"/>
    <w:rsid w:val="00A82938"/>
    <w:rsid w:val="00A84678"/>
    <w:rsid w:val="00A90B24"/>
    <w:rsid w:val="00A90D57"/>
    <w:rsid w:val="00A919D0"/>
    <w:rsid w:val="00A95090"/>
    <w:rsid w:val="00A97750"/>
    <w:rsid w:val="00AA06EE"/>
    <w:rsid w:val="00AA0FF8"/>
    <w:rsid w:val="00AA28F9"/>
    <w:rsid w:val="00AA4612"/>
    <w:rsid w:val="00AA50FF"/>
    <w:rsid w:val="00AA5D26"/>
    <w:rsid w:val="00AA5D9A"/>
    <w:rsid w:val="00AA63F4"/>
    <w:rsid w:val="00AA6528"/>
    <w:rsid w:val="00AA65A7"/>
    <w:rsid w:val="00AA7A9D"/>
    <w:rsid w:val="00AB1C8D"/>
    <w:rsid w:val="00AB1DEA"/>
    <w:rsid w:val="00AB2F0A"/>
    <w:rsid w:val="00AB5B4C"/>
    <w:rsid w:val="00AB6FD8"/>
    <w:rsid w:val="00AB7197"/>
    <w:rsid w:val="00AC1560"/>
    <w:rsid w:val="00AC3C86"/>
    <w:rsid w:val="00AD027E"/>
    <w:rsid w:val="00AD0C6D"/>
    <w:rsid w:val="00AD12B9"/>
    <w:rsid w:val="00AD2617"/>
    <w:rsid w:val="00AD2FB8"/>
    <w:rsid w:val="00AD3295"/>
    <w:rsid w:val="00AD3EE6"/>
    <w:rsid w:val="00AD5162"/>
    <w:rsid w:val="00AD5CB9"/>
    <w:rsid w:val="00AD67A4"/>
    <w:rsid w:val="00AE1879"/>
    <w:rsid w:val="00AE2A8F"/>
    <w:rsid w:val="00AE40D1"/>
    <w:rsid w:val="00AE4DC2"/>
    <w:rsid w:val="00AF0F34"/>
    <w:rsid w:val="00AF38F0"/>
    <w:rsid w:val="00AF65E5"/>
    <w:rsid w:val="00B00F65"/>
    <w:rsid w:val="00B016DE"/>
    <w:rsid w:val="00B01E43"/>
    <w:rsid w:val="00B05388"/>
    <w:rsid w:val="00B05D7B"/>
    <w:rsid w:val="00B06D37"/>
    <w:rsid w:val="00B07116"/>
    <w:rsid w:val="00B073D6"/>
    <w:rsid w:val="00B07E17"/>
    <w:rsid w:val="00B10B76"/>
    <w:rsid w:val="00B12493"/>
    <w:rsid w:val="00B14CA6"/>
    <w:rsid w:val="00B15D3C"/>
    <w:rsid w:val="00B173C3"/>
    <w:rsid w:val="00B17DDF"/>
    <w:rsid w:val="00B2028D"/>
    <w:rsid w:val="00B21551"/>
    <w:rsid w:val="00B218A9"/>
    <w:rsid w:val="00B230B6"/>
    <w:rsid w:val="00B23E54"/>
    <w:rsid w:val="00B30A53"/>
    <w:rsid w:val="00B3113A"/>
    <w:rsid w:val="00B31F4B"/>
    <w:rsid w:val="00B34044"/>
    <w:rsid w:val="00B34E83"/>
    <w:rsid w:val="00B356FD"/>
    <w:rsid w:val="00B37984"/>
    <w:rsid w:val="00B401A6"/>
    <w:rsid w:val="00B40D7E"/>
    <w:rsid w:val="00B4184D"/>
    <w:rsid w:val="00B42E32"/>
    <w:rsid w:val="00B42F25"/>
    <w:rsid w:val="00B5174F"/>
    <w:rsid w:val="00B51DF3"/>
    <w:rsid w:val="00B52E48"/>
    <w:rsid w:val="00B532D7"/>
    <w:rsid w:val="00B5389C"/>
    <w:rsid w:val="00B53CB5"/>
    <w:rsid w:val="00B54717"/>
    <w:rsid w:val="00B54AB7"/>
    <w:rsid w:val="00B55C76"/>
    <w:rsid w:val="00B565B5"/>
    <w:rsid w:val="00B61B28"/>
    <w:rsid w:val="00B63490"/>
    <w:rsid w:val="00B63DC0"/>
    <w:rsid w:val="00B64D21"/>
    <w:rsid w:val="00B65622"/>
    <w:rsid w:val="00B664EA"/>
    <w:rsid w:val="00B6718C"/>
    <w:rsid w:val="00B67862"/>
    <w:rsid w:val="00B67C11"/>
    <w:rsid w:val="00B70FC1"/>
    <w:rsid w:val="00B7298B"/>
    <w:rsid w:val="00B7405E"/>
    <w:rsid w:val="00B764F6"/>
    <w:rsid w:val="00B81D32"/>
    <w:rsid w:val="00B864ED"/>
    <w:rsid w:val="00B869B8"/>
    <w:rsid w:val="00B8789C"/>
    <w:rsid w:val="00B91ED5"/>
    <w:rsid w:val="00B95214"/>
    <w:rsid w:val="00B96A3F"/>
    <w:rsid w:val="00BA10DA"/>
    <w:rsid w:val="00BA18BA"/>
    <w:rsid w:val="00BA1A0C"/>
    <w:rsid w:val="00BA1F14"/>
    <w:rsid w:val="00BA4253"/>
    <w:rsid w:val="00BA4810"/>
    <w:rsid w:val="00BA49DA"/>
    <w:rsid w:val="00BA54C4"/>
    <w:rsid w:val="00BA6097"/>
    <w:rsid w:val="00BA7A20"/>
    <w:rsid w:val="00BB2583"/>
    <w:rsid w:val="00BB3476"/>
    <w:rsid w:val="00BB38D6"/>
    <w:rsid w:val="00BB4AF5"/>
    <w:rsid w:val="00BB59E3"/>
    <w:rsid w:val="00BC126D"/>
    <w:rsid w:val="00BC1D1B"/>
    <w:rsid w:val="00BC1E5B"/>
    <w:rsid w:val="00BC2A81"/>
    <w:rsid w:val="00BC66B0"/>
    <w:rsid w:val="00BC67E2"/>
    <w:rsid w:val="00BD1E51"/>
    <w:rsid w:val="00BD4357"/>
    <w:rsid w:val="00BD45BD"/>
    <w:rsid w:val="00BD47B0"/>
    <w:rsid w:val="00BD4A07"/>
    <w:rsid w:val="00BD4D91"/>
    <w:rsid w:val="00BD5BBE"/>
    <w:rsid w:val="00BD679D"/>
    <w:rsid w:val="00BD7656"/>
    <w:rsid w:val="00BD78B7"/>
    <w:rsid w:val="00BE0DA6"/>
    <w:rsid w:val="00BE6E7F"/>
    <w:rsid w:val="00BE6E99"/>
    <w:rsid w:val="00BE732E"/>
    <w:rsid w:val="00BF0C58"/>
    <w:rsid w:val="00BF38A4"/>
    <w:rsid w:val="00BF4D6B"/>
    <w:rsid w:val="00BF5702"/>
    <w:rsid w:val="00BF6011"/>
    <w:rsid w:val="00BF6A9F"/>
    <w:rsid w:val="00BF7BDC"/>
    <w:rsid w:val="00BF7D5C"/>
    <w:rsid w:val="00C008B0"/>
    <w:rsid w:val="00C00DAB"/>
    <w:rsid w:val="00C01FDC"/>
    <w:rsid w:val="00C02ACE"/>
    <w:rsid w:val="00C03ABA"/>
    <w:rsid w:val="00C0402B"/>
    <w:rsid w:val="00C04458"/>
    <w:rsid w:val="00C0479D"/>
    <w:rsid w:val="00C04FED"/>
    <w:rsid w:val="00C0594F"/>
    <w:rsid w:val="00C0627E"/>
    <w:rsid w:val="00C07F4D"/>
    <w:rsid w:val="00C110D9"/>
    <w:rsid w:val="00C11224"/>
    <w:rsid w:val="00C12AAB"/>
    <w:rsid w:val="00C12E52"/>
    <w:rsid w:val="00C158D9"/>
    <w:rsid w:val="00C23FB2"/>
    <w:rsid w:val="00C248E3"/>
    <w:rsid w:val="00C3188A"/>
    <w:rsid w:val="00C33BEE"/>
    <w:rsid w:val="00C34B38"/>
    <w:rsid w:val="00C34D77"/>
    <w:rsid w:val="00C35391"/>
    <w:rsid w:val="00C36A10"/>
    <w:rsid w:val="00C36E7A"/>
    <w:rsid w:val="00C37B50"/>
    <w:rsid w:val="00C4074D"/>
    <w:rsid w:val="00C40BDE"/>
    <w:rsid w:val="00C40F29"/>
    <w:rsid w:val="00C415C2"/>
    <w:rsid w:val="00C4170B"/>
    <w:rsid w:val="00C41828"/>
    <w:rsid w:val="00C42D6A"/>
    <w:rsid w:val="00C42FAD"/>
    <w:rsid w:val="00C4397B"/>
    <w:rsid w:val="00C463BD"/>
    <w:rsid w:val="00C54842"/>
    <w:rsid w:val="00C56EC7"/>
    <w:rsid w:val="00C646A7"/>
    <w:rsid w:val="00C64F10"/>
    <w:rsid w:val="00C664B0"/>
    <w:rsid w:val="00C6772D"/>
    <w:rsid w:val="00C679BE"/>
    <w:rsid w:val="00C67D15"/>
    <w:rsid w:val="00C7368C"/>
    <w:rsid w:val="00C755EE"/>
    <w:rsid w:val="00C75D90"/>
    <w:rsid w:val="00C82F0E"/>
    <w:rsid w:val="00C83441"/>
    <w:rsid w:val="00C8671F"/>
    <w:rsid w:val="00C873C3"/>
    <w:rsid w:val="00C92EE3"/>
    <w:rsid w:val="00C933AE"/>
    <w:rsid w:val="00C935FC"/>
    <w:rsid w:val="00C9414E"/>
    <w:rsid w:val="00C941A7"/>
    <w:rsid w:val="00C9529F"/>
    <w:rsid w:val="00C962E0"/>
    <w:rsid w:val="00C9657E"/>
    <w:rsid w:val="00C971C0"/>
    <w:rsid w:val="00CA2172"/>
    <w:rsid w:val="00CA34D8"/>
    <w:rsid w:val="00CA4400"/>
    <w:rsid w:val="00CA5331"/>
    <w:rsid w:val="00CA6B97"/>
    <w:rsid w:val="00CA7938"/>
    <w:rsid w:val="00CA7D10"/>
    <w:rsid w:val="00CB08FA"/>
    <w:rsid w:val="00CB1A7E"/>
    <w:rsid w:val="00CB20FB"/>
    <w:rsid w:val="00CB2FA1"/>
    <w:rsid w:val="00CB5E6A"/>
    <w:rsid w:val="00CB6618"/>
    <w:rsid w:val="00CC1869"/>
    <w:rsid w:val="00CC2497"/>
    <w:rsid w:val="00CC2658"/>
    <w:rsid w:val="00CC3663"/>
    <w:rsid w:val="00CC3DFB"/>
    <w:rsid w:val="00CC441A"/>
    <w:rsid w:val="00CC6019"/>
    <w:rsid w:val="00CC6822"/>
    <w:rsid w:val="00CC7AAD"/>
    <w:rsid w:val="00CC7FA4"/>
    <w:rsid w:val="00CD54D5"/>
    <w:rsid w:val="00CD5E63"/>
    <w:rsid w:val="00CD67EC"/>
    <w:rsid w:val="00CE1532"/>
    <w:rsid w:val="00CE3C5B"/>
    <w:rsid w:val="00CE4107"/>
    <w:rsid w:val="00CE4558"/>
    <w:rsid w:val="00CE5A16"/>
    <w:rsid w:val="00CF2433"/>
    <w:rsid w:val="00CF754F"/>
    <w:rsid w:val="00CF7588"/>
    <w:rsid w:val="00D00DE7"/>
    <w:rsid w:val="00D02525"/>
    <w:rsid w:val="00D055F9"/>
    <w:rsid w:val="00D0760F"/>
    <w:rsid w:val="00D07DEB"/>
    <w:rsid w:val="00D1089C"/>
    <w:rsid w:val="00D130F3"/>
    <w:rsid w:val="00D13765"/>
    <w:rsid w:val="00D15C6A"/>
    <w:rsid w:val="00D17270"/>
    <w:rsid w:val="00D2054E"/>
    <w:rsid w:val="00D21610"/>
    <w:rsid w:val="00D23332"/>
    <w:rsid w:val="00D25435"/>
    <w:rsid w:val="00D255CB"/>
    <w:rsid w:val="00D255F2"/>
    <w:rsid w:val="00D26CDD"/>
    <w:rsid w:val="00D30F71"/>
    <w:rsid w:val="00D33893"/>
    <w:rsid w:val="00D3618C"/>
    <w:rsid w:val="00D36397"/>
    <w:rsid w:val="00D363B6"/>
    <w:rsid w:val="00D372D7"/>
    <w:rsid w:val="00D4057A"/>
    <w:rsid w:val="00D4107A"/>
    <w:rsid w:val="00D43D0B"/>
    <w:rsid w:val="00D43F20"/>
    <w:rsid w:val="00D52552"/>
    <w:rsid w:val="00D53713"/>
    <w:rsid w:val="00D54158"/>
    <w:rsid w:val="00D54B64"/>
    <w:rsid w:val="00D55D0A"/>
    <w:rsid w:val="00D56C05"/>
    <w:rsid w:val="00D60D50"/>
    <w:rsid w:val="00D615C3"/>
    <w:rsid w:val="00D63623"/>
    <w:rsid w:val="00D6488F"/>
    <w:rsid w:val="00D66BAB"/>
    <w:rsid w:val="00D70534"/>
    <w:rsid w:val="00D7198F"/>
    <w:rsid w:val="00D75799"/>
    <w:rsid w:val="00D75D6F"/>
    <w:rsid w:val="00D7641E"/>
    <w:rsid w:val="00D81250"/>
    <w:rsid w:val="00D81BFD"/>
    <w:rsid w:val="00D871CB"/>
    <w:rsid w:val="00D87A6D"/>
    <w:rsid w:val="00D90F5A"/>
    <w:rsid w:val="00D923B2"/>
    <w:rsid w:val="00D9488A"/>
    <w:rsid w:val="00D97995"/>
    <w:rsid w:val="00DA164B"/>
    <w:rsid w:val="00DA1803"/>
    <w:rsid w:val="00DA7468"/>
    <w:rsid w:val="00DB454E"/>
    <w:rsid w:val="00DB4841"/>
    <w:rsid w:val="00DB65C3"/>
    <w:rsid w:val="00DC16A9"/>
    <w:rsid w:val="00DC1754"/>
    <w:rsid w:val="00DC3632"/>
    <w:rsid w:val="00DC4D21"/>
    <w:rsid w:val="00DC68E7"/>
    <w:rsid w:val="00DC6EEB"/>
    <w:rsid w:val="00DD1C1E"/>
    <w:rsid w:val="00DD76CB"/>
    <w:rsid w:val="00DE0218"/>
    <w:rsid w:val="00DE0FAA"/>
    <w:rsid w:val="00DE340B"/>
    <w:rsid w:val="00DE5E55"/>
    <w:rsid w:val="00DF0E8A"/>
    <w:rsid w:val="00DF20C5"/>
    <w:rsid w:val="00DF2623"/>
    <w:rsid w:val="00DF3252"/>
    <w:rsid w:val="00DF3778"/>
    <w:rsid w:val="00DF428C"/>
    <w:rsid w:val="00DF6B41"/>
    <w:rsid w:val="00DF6B69"/>
    <w:rsid w:val="00E01CC5"/>
    <w:rsid w:val="00E03025"/>
    <w:rsid w:val="00E04C46"/>
    <w:rsid w:val="00E069EF"/>
    <w:rsid w:val="00E06A0B"/>
    <w:rsid w:val="00E0757C"/>
    <w:rsid w:val="00E077E6"/>
    <w:rsid w:val="00E10AF0"/>
    <w:rsid w:val="00E12BFB"/>
    <w:rsid w:val="00E160DA"/>
    <w:rsid w:val="00E161FD"/>
    <w:rsid w:val="00E17976"/>
    <w:rsid w:val="00E21764"/>
    <w:rsid w:val="00E248F4"/>
    <w:rsid w:val="00E264B8"/>
    <w:rsid w:val="00E26B28"/>
    <w:rsid w:val="00E27D98"/>
    <w:rsid w:val="00E27E91"/>
    <w:rsid w:val="00E34A70"/>
    <w:rsid w:val="00E3501F"/>
    <w:rsid w:val="00E3647F"/>
    <w:rsid w:val="00E37E39"/>
    <w:rsid w:val="00E40529"/>
    <w:rsid w:val="00E41BFE"/>
    <w:rsid w:val="00E43109"/>
    <w:rsid w:val="00E44824"/>
    <w:rsid w:val="00E47BAB"/>
    <w:rsid w:val="00E51C90"/>
    <w:rsid w:val="00E52AA6"/>
    <w:rsid w:val="00E54AD5"/>
    <w:rsid w:val="00E559BA"/>
    <w:rsid w:val="00E55BAC"/>
    <w:rsid w:val="00E5670D"/>
    <w:rsid w:val="00E57141"/>
    <w:rsid w:val="00E57566"/>
    <w:rsid w:val="00E611CF"/>
    <w:rsid w:val="00E6481B"/>
    <w:rsid w:val="00E66EC2"/>
    <w:rsid w:val="00E66FBF"/>
    <w:rsid w:val="00E74265"/>
    <w:rsid w:val="00E753AB"/>
    <w:rsid w:val="00E8036B"/>
    <w:rsid w:val="00E804AD"/>
    <w:rsid w:val="00E80CF0"/>
    <w:rsid w:val="00E823DB"/>
    <w:rsid w:val="00E855C8"/>
    <w:rsid w:val="00E85BFF"/>
    <w:rsid w:val="00E85CB1"/>
    <w:rsid w:val="00E86212"/>
    <w:rsid w:val="00E921E5"/>
    <w:rsid w:val="00E94587"/>
    <w:rsid w:val="00E95AB8"/>
    <w:rsid w:val="00E95D71"/>
    <w:rsid w:val="00E96646"/>
    <w:rsid w:val="00E968A8"/>
    <w:rsid w:val="00E973DC"/>
    <w:rsid w:val="00EA1505"/>
    <w:rsid w:val="00EA452F"/>
    <w:rsid w:val="00EA45E6"/>
    <w:rsid w:val="00EA6914"/>
    <w:rsid w:val="00EA74CD"/>
    <w:rsid w:val="00EB1AC7"/>
    <w:rsid w:val="00EB285B"/>
    <w:rsid w:val="00EB5EE2"/>
    <w:rsid w:val="00EB65B3"/>
    <w:rsid w:val="00EB78A3"/>
    <w:rsid w:val="00EC04CC"/>
    <w:rsid w:val="00EC1031"/>
    <w:rsid w:val="00EC11F0"/>
    <w:rsid w:val="00EC1924"/>
    <w:rsid w:val="00EC3E05"/>
    <w:rsid w:val="00EC6842"/>
    <w:rsid w:val="00ED26D9"/>
    <w:rsid w:val="00ED3335"/>
    <w:rsid w:val="00ED4201"/>
    <w:rsid w:val="00ED50C9"/>
    <w:rsid w:val="00ED5BEF"/>
    <w:rsid w:val="00ED61A8"/>
    <w:rsid w:val="00ED6FB4"/>
    <w:rsid w:val="00EE02E9"/>
    <w:rsid w:val="00EE0736"/>
    <w:rsid w:val="00EE1054"/>
    <w:rsid w:val="00EE64CB"/>
    <w:rsid w:val="00EF1127"/>
    <w:rsid w:val="00EF2212"/>
    <w:rsid w:val="00EF265C"/>
    <w:rsid w:val="00EF47FA"/>
    <w:rsid w:val="00EF5FFC"/>
    <w:rsid w:val="00EF66B0"/>
    <w:rsid w:val="00F01731"/>
    <w:rsid w:val="00F01FA3"/>
    <w:rsid w:val="00F031B5"/>
    <w:rsid w:val="00F041B3"/>
    <w:rsid w:val="00F04D5B"/>
    <w:rsid w:val="00F04F54"/>
    <w:rsid w:val="00F12D02"/>
    <w:rsid w:val="00F16926"/>
    <w:rsid w:val="00F22E17"/>
    <w:rsid w:val="00F24BCA"/>
    <w:rsid w:val="00F25703"/>
    <w:rsid w:val="00F2615B"/>
    <w:rsid w:val="00F304B5"/>
    <w:rsid w:val="00F30DFB"/>
    <w:rsid w:val="00F32207"/>
    <w:rsid w:val="00F32842"/>
    <w:rsid w:val="00F33BA9"/>
    <w:rsid w:val="00F34356"/>
    <w:rsid w:val="00F42CE7"/>
    <w:rsid w:val="00F42E3F"/>
    <w:rsid w:val="00F44B8F"/>
    <w:rsid w:val="00F4658A"/>
    <w:rsid w:val="00F47462"/>
    <w:rsid w:val="00F474BD"/>
    <w:rsid w:val="00F4792C"/>
    <w:rsid w:val="00F50EFC"/>
    <w:rsid w:val="00F52686"/>
    <w:rsid w:val="00F536A2"/>
    <w:rsid w:val="00F556A4"/>
    <w:rsid w:val="00F57955"/>
    <w:rsid w:val="00F60BD3"/>
    <w:rsid w:val="00F60EBE"/>
    <w:rsid w:val="00F6191F"/>
    <w:rsid w:val="00F70459"/>
    <w:rsid w:val="00F7046A"/>
    <w:rsid w:val="00F70616"/>
    <w:rsid w:val="00F719D3"/>
    <w:rsid w:val="00F73BE8"/>
    <w:rsid w:val="00F756DC"/>
    <w:rsid w:val="00F7663A"/>
    <w:rsid w:val="00F7663F"/>
    <w:rsid w:val="00F844F8"/>
    <w:rsid w:val="00F86389"/>
    <w:rsid w:val="00F86A16"/>
    <w:rsid w:val="00F91245"/>
    <w:rsid w:val="00F917CC"/>
    <w:rsid w:val="00F93C05"/>
    <w:rsid w:val="00F9406E"/>
    <w:rsid w:val="00F95C52"/>
    <w:rsid w:val="00F9657B"/>
    <w:rsid w:val="00F96903"/>
    <w:rsid w:val="00F96C89"/>
    <w:rsid w:val="00FA0610"/>
    <w:rsid w:val="00FA08D4"/>
    <w:rsid w:val="00FA1CC9"/>
    <w:rsid w:val="00FA2CE9"/>
    <w:rsid w:val="00FA53DE"/>
    <w:rsid w:val="00FA6A4D"/>
    <w:rsid w:val="00FA7AA0"/>
    <w:rsid w:val="00FB049B"/>
    <w:rsid w:val="00FB0C4B"/>
    <w:rsid w:val="00FB1700"/>
    <w:rsid w:val="00FB1833"/>
    <w:rsid w:val="00FB545E"/>
    <w:rsid w:val="00FC2F3E"/>
    <w:rsid w:val="00FC3449"/>
    <w:rsid w:val="00FC3992"/>
    <w:rsid w:val="00FC4268"/>
    <w:rsid w:val="00FC4709"/>
    <w:rsid w:val="00FC7318"/>
    <w:rsid w:val="00FC7D25"/>
    <w:rsid w:val="00FD0090"/>
    <w:rsid w:val="00FD4E46"/>
    <w:rsid w:val="00FD5A7C"/>
    <w:rsid w:val="00FD6EDF"/>
    <w:rsid w:val="00FE03C8"/>
    <w:rsid w:val="00FE26C3"/>
    <w:rsid w:val="00FE31E8"/>
    <w:rsid w:val="00FE717C"/>
    <w:rsid w:val="00FF0026"/>
    <w:rsid w:val="00FF3B8A"/>
    <w:rsid w:val="00FF4E2D"/>
    <w:rsid w:val="00FF4E7D"/>
    <w:rsid w:val="00FF5E76"/>
    <w:rsid w:val="00FF66AD"/>
    <w:rsid w:val="00FF7029"/>
    <w:rsid w:val="00FF7EC7"/>
    <w:rsid w:val="06AA6A63"/>
    <w:rsid w:val="0A1D7EA8"/>
    <w:rsid w:val="370274E7"/>
    <w:rsid w:val="3AF947CF"/>
    <w:rsid w:val="415B6A48"/>
    <w:rsid w:val="63A70E8C"/>
    <w:rsid w:val="73966AFA"/>
    <w:rsid w:val="7D770C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193</Words>
  <Characters>1104</Characters>
  <Lines>9</Lines>
  <Paragraphs>2</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2024-04-24T06:44:00Z</dcterms:created>
  <dc:creator>周珊珊</dc:creator>
  <cp:lastModifiedBy>总行董事会办公室</cp:lastModifiedBy>
  <dcterms:modified xsi:type="dcterms:W3CDTF">2026-04-27T10:06:00Z</dcterms:modified>
  <dc:title>金华银行股份有限公司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