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right="-4253" w:rightChars="-2025"/>
        <w:jc w:val="center"/>
        <w:textAlignment w:val="auto"/>
        <w:rPr>
          <w:rFonts w:hint="eastAsia" w:ascii="仿宋" w:hAnsi="仿宋" w:eastAsia="仿宋"/>
          <w:sz w:val="44"/>
          <w:szCs w:val="44"/>
        </w:rPr>
      </w:pPr>
      <w:bookmarkStart w:id="0" w:name="_GoBack"/>
      <w:bookmarkEnd w:id="0"/>
    </w:p>
    <w:p>
      <w:pPr>
        <w:widowControl w:val="0"/>
        <w:wordWrap/>
        <w:adjustRightInd/>
        <w:snapToGrid/>
        <w:spacing w:line="560" w:lineRule="exact"/>
        <w:ind w:right="-4253" w:rightChars="-202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金华银行股份有限公司</w:t>
      </w:r>
    </w:p>
    <w:p>
      <w:pPr>
        <w:widowControl w:val="0"/>
        <w:wordWrap/>
        <w:adjustRightInd/>
        <w:snapToGrid/>
        <w:spacing w:line="560" w:lineRule="exact"/>
        <w:ind w:right="-4253" w:rightChars="-202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2025年度第三支柱信息披露报告</w:t>
      </w:r>
    </w:p>
    <w:p>
      <w:pPr>
        <w:widowControl w:val="0"/>
        <w:wordWrap/>
        <w:adjustRightInd/>
        <w:snapToGrid/>
        <w:spacing w:line="560" w:lineRule="exact"/>
        <w:jc w:val="center"/>
        <w:textAlignment w:val="auto"/>
        <w:rPr>
          <w:rFonts w:ascii="仿宋" w:hAnsi="仿宋" w:eastAsia="仿宋"/>
          <w:sz w:val="44"/>
          <w:szCs w:val="44"/>
        </w:rPr>
      </w:pPr>
    </w:p>
    <w:p>
      <w:pPr>
        <w:widowControl w:val="0"/>
        <w:wordWrap/>
        <w:adjustRightInd/>
        <w:snapToGrid/>
        <w:spacing w:line="560" w:lineRule="exact"/>
        <w:ind w:right="-4253" w:rightChars="-2025"/>
        <w:jc w:val="left"/>
        <w:textAlignment w:val="auto"/>
        <w:rPr>
          <w:rFonts w:hint="eastAsia" w:ascii="仿宋_GB2312" w:hAnsi="仿宋_GB2312" w:eastAsia="仿宋_GB2312" w:cs="仿宋_GB2312"/>
          <w:sz w:val="32"/>
          <w:szCs w:val="32"/>
        </w:rPr>
      </w:pPr>
      <w:r>
        <w:rPr>
          <w:rFonts w:hint="eastAsia" w:ascii="仿宋" w:hAnsi="仿宋" w:eastAsia="仿宋"/>
          <w:sz w:val="44"/>
          <w:szCs w:val="44"/>
        </w:rPr>
        <w:t xml:space="preserve"> </w:t>
      </w:r>
      <w:r>
        <w:rPr>
          <w:rFonts w:ascii="仿宋" w:hAnsi="仿宋" w:eastAsia="仿宋"/>
          <w:sz w:val="44"/>
          <w:szCs w:val="44"/>
        </w:rPr>
        <w:t xml:space="preserve">  </w:t>
      </w:r>
      <w:r>
        <w:rPr>
          <w:rFonts w:hint="eastAsia" w:ascii="仿宋_GB2312" w:hAnsi="仿宋_GB2312" w:eastAsia="仿宋_GB2312" w:cs="仿宋_GB2312"/>
          <w:sz w:val="32"/>
          <w:szCs w:val="32"/>
        </w:rPr>
        <w:t>本公司为非国内系统重要性银行，根据2023年11月颁布的《商业银行资本管理办法》（以下简称“办法”）附件 22《商业银行信息披露内容和要求》的规定，本公司按照办法第二章规定的并表范围披露相关信息，并表范围包括浙江磐安婺商村镇银行股份有限公司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本公司已建立完善的信息披露治理结构，由董事会批准并由高级管理层实施有效的内部控制流程，对信息披露内容进行合理审查，确保第三支柱披露信息真实、可靠</w:t>
      </w:r>
      <w:r>
        <w:rPr>
          <w:rFonts w:hint="eastAsia" w:ascii="仿宋_GB2312" w:hAnsi="仿宋_GB2312" w:eastAsia="仿宋_GB2312" w:cs="仿宋_GB2312"/>
          <w:sz w:val="32"/>
          <w:szCs w:val="32"/>
        </w:rPr>
        <w:t>。</w:t>
      </w:r>
    </w:p>
    <w:p>
      <w:pPr>
        <w:widowControl w:val="0"/>
        <w:wordWrap/>
        <w:adjustRightInd/>
        <w:snapToGrid/>
        <w:spacing w:line="560" w:lineRule="exact"/>
        <w:ind w:right="-4253" w:rightChars="-202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本年度公司需披露的报表如下：</w:t>
      </w:r>
    </w:p>
    <w:p>
      <w:pPr>
        <w:spacing w:line="480" w:lineRule="exact"/>
        <w:ind w:right="-4253" w:rightChars="-2025" w:firstLine="640" w:firstLineChars="200"/>
        <w:jc w:val="left"/>
        <w:rPr>
          <w:rFonts w:ascii="仿宋" w:hAnsi="仿宋" w:eastAsia="仿宋"/>
          <w:sz w:val="32"/>
          <w:szCs w:val="32"/>
        </w:rPr>
      </w:pPr>
    </w:p>
    <w:tbl>
      <w:tblPr>
        <w:tblStyle w:val="5"/>
        <w:tblW w:w="101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2498"/>
        <w:gridCol w:w="1426"/>
        <w:gridCol w:w="974"/>
        <w:gridCol w:w="452"/>
        <w:gridCol w:w="1041"/>
        <w:gridCol w:w="385"/>
        <w:gridCol w:w="1128"/>
        <w:gridCol w:w="298"/>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322" w:type="dxa"/>
            <w:gridSpan w:val="7"/>
            <w:tcBorders>
              <w:top w:val="nil"/>
              <w:left w:val="nil"/>
              <w:bottom w:val="nil"/>
              <w:right w:val="nil"/>
            </w:tcBorders>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KM1 监管并表关键审慎监管指标</w:t>
            </w:r>
          </w:p>
        </w:tc>
        <w:tc>
          <w:tcPr>
            <w:tcW w:w="1426" w:type="dxa"/>
            <w:gridSpan w:val="2"/>
            <w:tcBorders>
              <w:top w:val="nil"/>
              <w:left w:val="nil"/>
              <w:bottom w:val="nil"/>
              <w:right w:val="nil"/>
            </w:tcBorders>
            <w:vAlign w:val="center"/>
          </w:tcPr>
          <w:p>
            <w:pPr>
              <w:widowControl/>
              <w:jc w:val="left"/>
              <w:rPr>
                <w:rFonts w:hint="eastAsia" w:ascii="仿宋_GB2312" w:hAnsi="仿宋_GB2312" w:eastAsia="仿宋_GB2312" w:cs="仿宋_GB2312"/>
                <w:b/>
                <w:bCs/>
                <w:color w:val="000000"/>
                <w:kern w:val="0"/>
                <w:sz w:val="22"/>
                <w:szCs w:val="28"/>
              </w:rPr>
            </w:pPr>
          </w:p>
        </w:tc>
        <w:tc>
          <w:tcPr>
            <w:tcW w:w="1426" w:type="dxa"/>
            <w:tcBorders>
              <w:top w:val="nil"/>
              <w:left w:val="nil"/>
              <w:bottom w:val="nil"/>
              <w:right w:val="nil"/>
            </w:tcBorders>
            <w:vAlign w:val="center"/>
          </w:tcPr>
          <w:p>
            <w:pPr>
              <w:widowControl/>
              <w:jc w:val="left"/>
              <w:rPr>
                <w:rFonts w:hint="eastAsia" w:ascii="仿宋_GB2312" w:hAnsi="仿宋_GB2312" w:eastAsia="仿宋_GB2312" w:cs="仿宋_GB2312"/>
                <w:kern w:val="0"/>
                <w:sz w:val="22"/>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trPr>
        <w:tc>
          <w:tcPr>
            <w:tcW w:w="546" w:type="dxa"/>
            <w:tcBorders>
              <w:top w:val="nil"/>
              <w:left w:val="nil"/>
              <w:bottom w:val="nil"/>
              <w:right w:val="nil"/>
            </w:tcBorders>
            <w:vAlign w:val="bottom"/>
          </w:tcPr>
          <w:p>
            <w:pPr>
              <w:widowControl/>
              <w:ind w:leftChars="-7" w:hanging="15" w:hangingChars="7"/>
              <w:jc w:val="center"/>
              <w:rPr>
                <w:rFonts w:hint="eastAsia" w:ascii="仿宋_GB2312" w:hAnsi="仿宋_GB2312" w:eastAsia="仿宋_GB2312" w:cs="仿宋_GB2312"/>
                <w:kern w:val="0"/>
                <w:sz w:val="22"/>
                <w:szCs w:val="20"/>
              </w:rPr>
            </w:pPr>
          </w:p>
        </w:tc>
        <w:tc>
          <w:tcPr>
            <w:tcW w:w="2498" w:type="dxa"/>
            <w:tcBorders>
              <w:top w:val="nil"/>
              <w:left w:val="nil"/>
              <w:bottom w:val="nil"/>
              <w:right w:val="nil"/>
            </w:tcBorders>
            <w:vAlign w:val="bottom"/>
          </w:tcPr>
          <w:p>
            <w:pPr>
              <w:widowControl/>
              <w:jc w:val="left"/>
              <w:rPr>
                <w:rFonts w:hint="eastAsia" w:ascii="仿宋_GB2312" w:hAnsi="仿宋_GB2312" w:eastAsia="仿宋_GB2312" w:cs="仿宋_GB2312"/>
                <w:kern w:val="0"/>
                <w:sz w:val="22"/>
                <w:szCs w:val="20"/>
              </w:rPr>
            </w:pPr>
          </w:p>
        </w:tc>
        <w:tc>
          <w:tcPr>
            <w:tcW w:w="1426" w:type="dxa"/>
            <w:tcBorders>
              <w:top w:val="nil"/>
              <w:left w:val="nil"/>
              <w:bottom w:val="nil"/>
              <w:right w:val="nil"/>
            </w:tcBorders>
            <w:vAlign w:val="bottom"/>
          </w:tcPr>
          <w:p>
            <w:pPr>
              <w:widowControl/>
              <w:jc w:val="left"/>
              <w:rPr>
                <w:rFonts w:hint="eastAsia" w:ascii="仿宋_GB2312" w:hAnsi="仿宋_GB2312" w:eastAsia="仿宋_GB2312" w:cs="仿宋_GB2312"/>
                <w:kern w:val="0"/>
                <w:sz w:val="22"/>
                <w:szCs w:val="20"/>
              </w:rPr>
            </w:pPr>
          </w:p>
        </w:tc>
        <w:tc>
          <w:tcPr>
            <w:tcW w:w="974" w:type="dxa"/>
            <w:tcBorders>
              <w:top w:val="nil"/>
              <w:left w:val="nil"/>
              <w:bottom w:val="nil"/>
              <w:right w:val="nil"/>
            </w:tcBorders>
            <w:vAlign w:val="bottom"/>
          </w:tcPr>
          <w:p>
            <w:pPr>
              <w:widowControl/>
              <w:tabs>
                <w:tab w:val="left" w:pos="946"/>
              </w:tabs>
              <w:jc w:val="center"/>
              <w:rPr>
                <w:rFonts w:hint="eastAsia" w:ascii="仿宋_GB2312" w:hAnsi="仿宋_GB2312" w:eastAsia="仿宋_GB2312" w:cs="仿宋_GB2312"/>
                <w:kern w:val="0"/>
                <w:sz w:val="22"/>
                <w:szCs w:val="20"/>
              </w:rPr>
            </w:pPr>
          </w:p>
        </w:tc>
        <w:tc>
          <w:tcPr>
            <w:tcW w:w="1493" w:type="dxa"/>
            <w:gridSpan w:val="2"/>
            <w:tcBorders>
              <w:top w:val="nil"/>
              <w:left w:val="nil"/>
              <w:bottom w:val="nil"/>
              <w:right w:val="nil"/>
            </w:tcBorders>
            <w:vAlign w:val="bottom"/>
          </w:tcPr>
          <w:p>
            <w:pPr>
              <w:widowControl/>
              <w:jc w:val="center"/>
              <w:rPr>
                <w:rFonts w:hint="eastAsia" w:ascii="仿宋_GB2312" w:hAnsi="仿宋_GB2312" w:eastAsia="仿宋_GB2312" w:cs="仿宋_GB2312"/>
                <w:kern w:val="0"/>
                <w:sz w:val="22"/>
                <w:szCs w:val="20"/>
              </w:rPr>
            </w:pPr>
          </w:p>
        </w:tc>
        <w:tc>
          <w:tcPr>
            <w:tcW w:w="1513" w:type="dxa"/>
            <w:gridSpan w:val="2"/>
            <w:tcBorders>
              <w:top w:val="nil"/>
              <w:left w:val="nil"/>
              <w:bottom w:val="nil"/>
              <w:right w:val="nil"/>
            </w:tcBorders>
            <w:vAlign w:val="bottom"/>
          </w:tcPr>
          <w:p>
            <w:pPr>
              <w:widowControl/>
              <w:jc w:val="left"/>
              <w:rPr>
                <w:rFonts w:hint="eastAsia" w:ascii="仿宋_GB2312" w:hAnsi="仿宋_GB2312" w:eastAsia="仿宋_GB2312" w:cs="仿宋_GB2312"/>
                <w:kern w:val="0"/>
                <w:sz w:val="22"/>
                <w:szCs w:val="20"/>
              </w:rPr>
            </w:pPr>
          </w:p>
        </w:tc>
        <w:tc>
          <w:tcPr>
            <w:tcW w:w="1724" w:type="dxa"/>
            <w:gridSpan w:val="2"/>
            <w:tcBorders>
              <w:top w:val="nil"/>
              <w:left w:val="nil"/>
              <w:bottom w:val="nil"/>
              <w:right w:val="nil"/>
            </w:tcBorders>
            <w:vAlign w:val="center"/>
          </w:tcPr>
          <w:p>
            <w:pPr>
              <w:widowControl/>
              <w:jc w:val="righ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3044" w:type="dxa"/>
            <w:gridSpan w:val="2"/>
            <w:vMerge w:val="restart"/>
            <w:tcBorders>
              <w:top w:val="single" w:color="auto" w:sz="8" w:space="0"/>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c>
          <w:tcPr>
            <w:tcW w:w="1426" w:type="dxa"/>
            <w:tcBorders>
              <w:top w:val="single" w:color="auto" w:sz="8" w:space="0"/>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a</w:t>
            </w:r>
          </w:p>
        </w:tc>
        <w:tc>
          <w:tcPr>
            <w:tcW w:w="1426" w:type="dxa"/>
            <w:gridSpan w:val="2"/>
            <w:tcBorders>
              <w:top w:val="single" w:color="auto" w:sz="8" w:space="0"/>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b</w:t>
            </w:r>
          </w:p>
        </w:tc>
        <w:tc>
          <w:tcPr>
            <w:tcW w:w="1426" w:type="dxa"/>
            <w:gridSpan w:val="2"/>
            <w:tcBorders>
              <w:top w:val="single" w:color="auto" w:sz="8" w:space="0"/>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c</w:t>
            </w:r>
          </w:p>
        </w:tc>
        <w:tc>
          <w:tcPr>
            <w:tcW w:w="1426" w:type="dxa"/>
            <w:gridSpan w:val="2"/>
            <w:tcBorders>
              <w:top w:val="single" w:color="auto" w:sz="8" w:space="0"/>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d</w:t>
            </w:r>
          </w:p>
        </w:tc>
        <w:tc>
          <w:tcPr>
            <w:tcW w:w="1426" w:type="dxa"/>
            <w:tcBorders>
              <w:top w:val="single" w:color="auto" w:sz="8" w:space="0"/>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3044" w:type="dxa"/>
            <w:gridSpan w:val="2"/>
            <w:vMerge w:val="continue"/>
            <w:tcBorders>
              <w:top w:val="single" w:color="auto" w:sz="8" w:space="0"/>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8"/>
              </w:rPr>
            </w:pP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2025年12月</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2025年9月</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2025年6月</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2025年3月</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核心一级资本净额</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692798.19</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682087.66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728055.33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695890.73</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680845.77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一级资本净额</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743175.81</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732472.28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778438.18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696285.12</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681227.01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资本净额</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954158.83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938022.66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977365.73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911776.34</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909607.04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风险加权资产</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8386386.43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8101264.491</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8035661.38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7957365.42</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7651727.73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核心一级资本充足率（%）</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8.26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8.42</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9.06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8.75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一级资本充足率（%）</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8.86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9.04</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9.69</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8.75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资本充足率（%）</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11.38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11.58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12.16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11.46</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储备资本要求（%）</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逆周期资本要求（%）</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54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10</w:t>
            </w:r>
          </w:p>
        </w:tc>
        <w:tc>
          <w:tcPr>
            <w:tcW w:w="2498"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全球系统重要性银行或国内系统重要性银行附加资本要求（%）</w:t>
            </w:r>
          </w:p>
        </w:tc>
        <w:tc>
          <w:tcPr>
            <w:tcW w:w="1426" w:type="dxa"/>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c>
          <w:tcPr>
            <w:tcW w:w="1426" w:type="dxa"/>
            <w:gridSpan w:val="2"/>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c>
          <w:tcPr>
            <w:tcW w:w="1426" w:type="dxa"/>
            <w:gridSpan w:val="2"/>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c>
          <w:tcPr>
            <w:tcW w:w="1426" w:type="dxa"/>
            <w:gridSpan w:val="2"/>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c>
          <w:tcPr>
            <w:tcW w:w="1426" w:type="dxa"/>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其他各级资本要求（%）（8+9+10）</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12</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满足最低资本要求后的可用核心一级资本净额占风险加权资产的比例（%）</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3.26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3.42</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4.06</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3.75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13</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调整后表内外资产余额</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13647281.83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13007161.37</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12603916.85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12669798.24</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12342622.05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14</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杠杆率（%）</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5.45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5.63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6.18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5.49</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14a</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杠杆率a（%）</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5.45</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5.63</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6.18</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5.49</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15</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合格优质流动性资产</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16</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现金净流出量</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17</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流动性覆盖率（%）</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18</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可用稳定资金合计</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19</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所需稳定资金合计</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w:t>
            </w:r>
          </w:p>
        </w:tc>
        <w:tc>
          <w:tcPr>
            <w:tcW w:w="2498"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净稳定资金比例（%）</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gridSpan w:val="2"/>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10174" w:type="dxa"/>
            <w:gridSpan w:val="10"/>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546"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21</w:t>
            </w:r>
          </w:p>
        </w:tc>
        <w:tc>
          <w:tcPr>
            <w:tcW w:w="2498" w:type="dxa"/>
            <w:tcBorders>
              <w:top w:val="nil"/>
              <w:left w:val="nil"/>
              <w:bottom w:val="single" w:color="auto" w:sz="8" w:space="0"/>
              <w:right w:val="single" w:color="auto" w:sz="8" w:space="0"/>
            </w:tcBorders>
            <w:shd w:val="clear" w:color="000000" w:fill="FFFFFF"/>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流动性比例（%）</w:t>
            </w:r>
          </w:p>
        </w:tc>
        <w:tc>
          <w:tcPr>
            <w:tcW w:w="1426"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77.8</w:t>
            </w:r>
          </w:p>
        </w:tc>
        <w:tc>
          <w:tcPr>
            <w:tcW w:w="1426" w:type="dxa"/>
            <w:gridSpan w:val="2"/>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74.78</w:t>
            </w:r>
          </w:p>
        </w:tc>
        <w:tc>
          <w:tcPr>
            <w:tcW w:w="1426" w:type="dxa"/>
            <w:gridSpan w:val="2"/>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75.47</w:t>
            </w:r>
          </w:p>
        </w:tc>
        <w:tc>
          <w:tcPr>
            <w:tcW w:w="1426" w:type="dxa"/>
            <w:gridSpan w:val="2"/>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86.67</w:t>
            </w:r>
          </w:p>
        </w:tc>
        <w:tc>
          <w:tcPr>
            <w:tcW w:w="1426"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79.72</w:t>
            </w:r>
          </w:p>
        </w:tc>
      </w:tr>
    </w:tbl>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p>
      <w:pPr>
        <w:rPr>
          <w:rFonts w:ascii="仿宋_GB2312" w:eastAsia="仿宋_GB2312" w:cs="宋体"/>
          <w:b/>
          <w:color w:val="000000"/>
          <w:kern w:val="0"/>
          <w:sz w:val="22"/>
        </w:rPr>
      </w:pPr>
    </w:p>
    <w:tbl>
      <w:tblPr>
        <w:tblStyle w:val="5"/>
        <w:tblpPr w:leftFromText="180" w:rightFromText="180" w:vertAnchor="text" w:horzAnchor="page" w:tblpX="1135" w:tblpY="183"/>
        <w:tblOverlap w:val="never"/>
        <w:tblW w:w="9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0"/>
        <w:gridCol w:w="6220"/>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9700" w:type="dxa"/>
            <w:gridSpan w:val="3"/>
            <w:tcBorders>
              <w:top w:val="single" w:color="auto" w:sz="8" w:space="0"/>
              <w:left w:val="nil"/>
              <w:bottom w:val="single" w:color="auto" w:sz="8" w:space="0"/>
              <w:right w:val="nil"/>
            </w:tcBorders>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 xml:space="preserve">CC1 资本构成                                                                            </w:t>
            </w:r>
            <w:r>
              <w:rPr>
                <w:rFonts w:hint="eastAsia" w:ascii="仿宋_GB2312" w:hAnsi="仿宋_GB2312" w:eastAsia="仿宋_GB2312" w:cs="仿宋_GB2312"/>
                <w:color w:val="000000"/>
                <w:kern w:val="0"/>
                <w:sz w:val="22"/>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340" w:type="dxa"/>
            <w:gridSpan w:val="2"/>
            <w:vMerge w:val="restart"/>
            <w:tcBorders>
              <w:top w:val="single" w:color="auto" w:sz="8" w:space="0"/>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40" w:type="dxa"/>
            <w:gridSpan w:val="2"/>
            <w:vMerge w:val="continue"/>
            <w:tcBorders>
              <w:top w:val="single" w:color="auto" w:sz="8" w:space="0"/>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8"/>
              </w:rPr>
            </w:pP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2025年12月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核心一级资本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实收资本和资本公积可计入部分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267242.61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留存收益</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471540.88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2a</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盈余公积</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60981.27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2b</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一般风险准备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155518.54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2c</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未分配利润</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255041.07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累计其他综合收益</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-42913.62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少数股东资本可计入部分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2832.13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扣除前的核心一级资本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698702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核心一级资本：扣除项</w:t>
            </w:r>
            <w:r>
              <w:rPr>
                <w:rFonts w:hint="eastAsia" w:ascii="仿宋_GB2312" w:hAnsi="仿宋_GB2312" w:eastAsia="仿宋_GB2312" w:cs="仿宋_GB2312"/>
                <w:color w:val="000000"/>
                <w:kern w:val="0"/>
                <w:sz w:val="22"/>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审慎估值调整</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商誉（扣除递延税负债）</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其他无形资产（土地使用权除外）（扣除递延税负债）</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6619.83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依赖未来盈利的由经营亏损引起的净递延税资产</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10</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对未按公允价值计量的项目进行套期形成的现金流储备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损失准备缺口</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12</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资产证券化销售利得</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13</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自身信用风险变化导致其负债公允价值变化带来的未实现损益</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14</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确定受益类的养老金资产净额（扣除递延税负债）</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15</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直接或间接持有本银行的股票</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16</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银行间或银行与其他金融机构间通过协议相互持有的核心一级资本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17</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对未并表金融机构小额少数资本投资中的核心一级资本中应扣除金额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对未并表金融机构大额少数资本投资中的核心一级资本中应扣除金额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其他依赖于银行未来盈利的净递延税资产中应扣除金额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6"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20</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对未并表金融机构大额少数资本投资中的核心一级资本和其他依赖于银行未来盈利的净递延税资产的未扣除部分超过核心一级资本15%的应扣除金额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21</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其中：应在对金融机构大额少数资本投资中扣除的金额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22</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其中：应在其他依赖于银行未来盈利的净递延税资产中扣除的金额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23</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其他应在核心一级资本中扣除的项目合计</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24</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应从其他一级资本和二级资本中扣除的未扣缺口</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核心一级资本扣除项总和</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5903.81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26</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核心一级资本净额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692798.19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其他一级资本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27</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其他一级资本工具及其溢价</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其中：权益部分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其中：负债部分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30</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少数股东资本可计入部分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377.62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31</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扣除前的其他一级资本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50377.62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其他一级资本:扣除项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32</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直接或间接持有的本银行其他一级资本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33</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银行间或银行与其他金融机构间通过协议相互持有的其他一级资本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34</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对未并表金融机构小额少数资本投资中的其他一级资本中应扣除金额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35</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对未并表金融机构大额少数资本投资中的其他一级资本中应扣除金额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36</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其他应在其他一级资本中扣除的项目合计</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37</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应从二级资本中扣除的未扣缺口</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其他一级资本扣除项总和</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其他一级资本净额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50377.62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40</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一级资本净额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743175.81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41</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二级资本工具及其溢价</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152782.47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42</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少数股东资本可计入部分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755.23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43</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超额损失准备可计入部分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57445.32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top"/>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44</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扣除前的二级资本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210983.02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二级资本：扣除项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45</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直接或间接持有的本银行的二级资本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46</w:t>
            </w:r>
          </w:p>
        </w:tc>
        <w:tc>
          <w:tcPr>
            <w:tcW w:w="6220" w:type="dxa"/>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银行间或银行与其他金融机构间通过协议相互持有的其他一级资本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47</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对未并表金融机构小额少数资本投资中的二级资本中应扣除金额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对未并表金融机构大额少数资本投资中的二级资本</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其他应在二级资本中扣除的项目合计</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50</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二级资本扣除项总和</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51</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二级资本净额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210983.02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52</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总资本净额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954158.83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53</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风险加权资产</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8386386.43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资本充足率和其他各级资本要求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54</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核心一级资本充足率（%）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55</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一级资本充足率（%）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56</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资本充足率（%）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57</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其他各级资本要求（%）</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其中：储备资本要求</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其中：逆周期资本要求</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60</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 xml:space="preserve">    其中：全球系统重要性银行或国内系统重要性银行附加资本要求</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61</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满足最低资本要求后的可用核心一级资本净额占风险加权资产的比例（%）</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我国最低监管资本要求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62</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核心一级资本充足率（%）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63</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一级资本充足率（%）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64</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资本充足率（%）</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门槛扣除项中未扣除部分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65</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对未并表金融机构的小额少数资本投资中未扣除部分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65395.86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66</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对未并表金融机构的大额少数资本投资中未扣除部分</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67</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其他依赖于银行未来盈利的净递延税资产（扣除递延税负债）</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40214.23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700" w:type="dxa"/>
            <w:gridSpan w:val="3"/>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hAnsi="仿宋_GB2312" w:eastAsia="仿宋_GB2312" w:cs="仿宋_GB2312"/>
                <w:b/>
                <w:bCs/>
                <w:color w:val="000000"/>
                <w:kern w:val="0"/>
                <w:sz w:val="22"/>
                <w:szCs w:val="28"/>
              </w:rPr>
            </w:pPr>
            <w:r>
              <w:rPr>
                <w:rFonts w:hint="eastAsia" w:ascii="仿宋_GB2312" w:hAnsi="仿宋_GB2312" w:eastAsia="仿宋_GB2312" w:cs="仿宋_GB2312"/>
                <w:b/>
                <w:bCs/>
                <w:color w:val="000000"/>
                <w:kern w:val="0"/>
                <w:sz w:val="22"/>
                <w:szCs w:val="28"/>
              </w:rPr>
              <w:t>可计入二级资本的超额损失准备的限额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68</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权重法下，实际计提的超额损失准备金额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57445.32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tcBorders>
              <w:top w:val="nil"/>
              <w:left w:val="nil"/>
              <w:bottom w:val="single" w:color="auto" w:sz="8" w:space="0"/>
              <w:right w:val="single" w:color="auto" w:sz="8" w:space="0"/>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69</w:t>
            </w:r>
          </w:p>
        </w:tc>
        <w:tc>
          <w:tcPr>
            <w:tcW w:w="6220" w:type="dxa"/>
            <w:tcBorders>
              <w:top w:val="nil"/>
              <w:left w:val="nil"/>
              <w:bottom w:val="single" w:color="auto" w:sz="8" w:space="0"/>
              <w:right w:val="single" w:color="auto" w:sz="8" w:space="0"/>
            </w:tcBorders>
            <w:vAlign w:val="center"/>
          </w:tcPr>
          <w:p>
            <w:pPr>
              <w:widowControl/>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权重法下，可计入二级资本超额损失准备的数额</w:t>
            </w:r>
          </w:p>
        </w:tc>
        <w:tc>
          <w:tcPr>
            <w:tcW w:w="2360" w:type="dxa"/>
            <w:tcBorders>
              <w:top w:val="nil"/>
              <w:left w:val="nil"/>
              <w:bottom w:val="single" w:color="auto" w:sz="8" w:space="0"/>
              <w:right w:val="nil"/>
            </w:tcBorders>
            <w:vAlign w:val="center"/>
          </w:tcPr>
          <w:p>
            <w:pPr>
              <w:widowControl/>
              <w:jc w:val="center"/>
              <w:rPr>
                <w:rFonts w:hint="eastAsia" w:ascii="仿宋_GB2312" w:hAnsi="仿宋_GB2312" w:eastAsia="仿宋_GB2312" w:cs="仿宋_GB2312"/>
                <w:color w:val="000000"/>
                <w:kern w:val="0"/>
                <w:sz w:val="22"/>
                <w:szCs w:val="28"/>
              </w:rPr>
            </w:pPr>
            <w:r>
              <w:rPr>
                <w:rFonts w:hint="eastAsia" w:ascii="仿宋_GB2312" w:hAnsi="仿宋_GB2312" w:eastAsia="仿宋_GB2312" w:cs="仿宋_GB2312"/>
                <w:color w:val="000000"/>
                <w:kern w:val="0"/>
                <w:sz w:val="22"/>
                <w:szCs w:val="28"/>
              </w:rPr>
              <w:t>57445.32</w:t>
            </w:r>
          </w:p>
        </w:tc>
      </w:tr>
    </w:tbl>
    <w:p>
      <w:pPr>
        <w:rPr>
          <w:rFonts w:ascii="仿宋_GB2312" w:eastAsia="仿宋_GB2312" w:cs="宋体"/>
          <w:b/>
          <w:color w:val="000000"/>
          <w:kern w:val="0"/>
          <w:sz w:val="22"/>
        </w:rPr>
      </w:pPr>
    </w:p>
    <w:p>
      <w:pPr>
        <w:tabs>
          <w:tab w:val="left" w:pos="4820"/>
        </w:tabs>
        <w:ind w:right="-5384" w:rightChars="-2564"/>
        <w:rPr>
          <w:rFonts w:ascii="仿宋_GB2312" w:eastAsia="仿宋_GB2312" w:cs="宋体"/>
          <w:color w:val="000000"/>
          <w:kern w:val="0"/>
          <w:sz w:val="22"/>
        </w:rPr>
      </w:pPr>
    </w:p>
    <w:sectPr>
      <w:pgSz w:w="11906" w:h="16838"/>
      <w:pgMar w:top="1440" w:right="5385" w:bottom="144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C3AE2"/>
    <w:rsid w:val="00002A5B"/>
    <w:rsid w:val="00002ACB"/>
    <w:rsid w:val="00003204"/>
    <w:rsid w:val="00003FE0"/>
    <w:rsid w:val="000059D8"/>
    <w:rsid w:val="000102BE"/>
    <w:rsid w:val="00011000"/>
    <w:rsid w:val="00014950"/>
    <w:rsid w:val="00025C47"/>
    <w:rsid w:val="0003345B"/>
    <w:rsid w:val="00033C3B"/>
    <w:rsid w:val="0003571D"/>
    <w:rsid w:val="00041A5B"/>
    <w:rsid w:val="0004265D"/>
    <w:rsid w:val="00043948"/>
    <w:rsid w:val="00043B2C"/>
    <w:rsid w:val="00043C9C"/>
    <w:rsid w:val="00043FCC"/>
    <w:rsid w:val="00044500"/>
    <w:rsid w:val="00044612"/>
    <w:rsid w:val="000453FB"/>
    <w:rsid w:val="00046106"/>
    <w:rsid w:val="0005269A"/>
    <w:rsid w:val="0005340B"/>
    <w:rsid w:val="000546C6"/>
    <w:rsid w:val="00054F84"/>
    <w:rsid w:val="00062E01"/>
    <w:rsid w:val="00063D9C"/>
    <w:rsid w:val="00065030"/>
    <w:rsid w:val="00065375"/>
    <w:rsid w:val="00065C82"/>
    <w:rsid w:val="000704FD"/>
    <w:rsid w:val="00074BD9"/>
    <w:rsid w:val="00077734"/>
    <w:rsid w:val="0008328C"/>
    <w:rsid w:val="00084A94"/>
    <w:rsid w:val="00086711"/>
    <w:rsid w:val="000909C1"/>
    <w:rsid w:val="00093804"/>
    <w:rsid w:val="00095A86"/>
    <w:rsid w:val="000964F8"/>
    <w:rsid w:val="00097779"/>
    <w:rsid w:val="000A1674"/>
    <w:rsid w:val="000A1DD9"/>
    <w:rsid w:val="000A2051"/>
    <w:rsid w:val="000A221A"/>
    <w:rsid w:val="000A6943"/>
    <w:rsid w:val="000B1A87"/>
    <w:rsid w:val="000B1F78"/>
    <w:rsid w:val="000B2A2E"/>
    <w:rsid w:val="000B5FF6"/>
    <w:rsid w:val="000C0095"/>
    <w:rsid w:val="000C250C"/>
    <w:rsid w:val="000C59C2"/>
    <w:rsid w:val="000C7DCD"/>
    <w:rsid w:val="000D0675"/>
    <w:rsid w:val="000D25A7"/>
    <w:rsid w:val="000D275C"/>
    <w:rsid w:val="000D36D2"/>
    <w:rsid w:val="000D5AE9"/>
    <w:rsid w:val="000D5BE5"/>
    <w:rsid w:val="000D5F15"/>
    <w:rsid w:val="000D69CF"/>
    <w:rsid w:val="000D764D"/>
    <w:rsid w:val="000D7B5A"/>
    <w:rsid w:val="000D7BE3"/>
    <w:rsid w:val="000E0130"/>
    <w:rsid w:val="000E17EB"/>
    <w:rsid w:val="000E288B"/>
    <w:rsid w:val="000E35E0"/>
    <w:rsid w:val="000E588C"/>
    <w:rsid w:val="000E5EDF"/>
    <w:rsid w:val="000F1DC7"/>
    <w:rsid w:val="000F2055"/>
    <w:rsid w:val="000F339B"/>
    <w:rsid w:val="000F5529"/>
    <w:rsid w:val="000F58A7"/>
    <w:rsid w:val="001009F0"/>
    <w:rsid w:val="00100B9F"/>
    <w:rsid w:val="00100F6D"/>
    <w:rsid w:val="0010226B"/>
    <w:rsid w:val="0010430C"/>
    <w:rsid w:val="001056E0"/>
    <w:rsid w:val="00111F1E"/>
    <w:rsid w:val="00116451"/>
    <w:rsid w:val="00116685"/>
    <w:rsid w:val="00116C95"/>
    <w:rsid w:val="001170B1"/>
    <w:rsid w:val="00120BD8"/>
    <w:rsid w:val="00121944"/>
    <w:rsid w:val="00122E60"/>
    <w:rsid w:val="0012335F"/>
    <w:rsid w:val="00125106"/>
    <w:rsid w:val="00125B55"/>
    <w:rsid w:val="00127ACE"/>
    <w:rsid w:val="00131BE0"/>
    <w:rsid w:val="00131F76"/>
    <w:rsid w:val="00133CB9"/>
    <w:rsid w:val="00134C40"/>
    <w:rsid w:val="00135621"/>
    <w:rsid w:val="00135877"/>
    <w:rsid w:val="00137277"/>
    <w:rsid w:val="001372FD"/>
    <w:rsid w:val="001412F7"/>
    <w:rsid w:val="00141F30"/>
    <w:rsid w:val="0014378C"/>
    <w:rsid w:val="0014694A"/>
    <w:rsid w:val="0014709F"/>
    <w:rsid w:val="00147F4B"/>
    <w:rsid w:val="00150F8B"/>
    <w:rsid w:val="00151410"/>
    <w:rsid w:val="001524A6"/>
    <w:rsid w:val="00155204"/>
    <w:rsid w:val="0015648E"/>
    <w:rsid w:val="00161669"/>
    <w:rsid w:val="001639F3"/>
    <w:rsid w:val="00166E1F"/>
    <w:rsid w:val="00171676"/>
    <w:rsid w:val="00171C6B"/>
    <w:rsid w:val="001727AF"/>
    <w:rsid w:val="001742B3"/>
    <w:rsid w:val="00175732"/>
    <w:rsid w:val="00177978"/>
    <w:rsid w:val="001817BF"/>
    <w:rsid w:val="00185416"/>
    <w:rsid w:val="00187318"/>
    <w:rsid w:val="00187DD1"/>
    <w:rsid w:val="0019247E"/>
    <w:rsid w:val="00193258"/>
    <w:rsid w:val="00193905"/>
    <w:rsid w:val="00194661"/>
    <w:rsid w:val="001951FA"/>
    <w:rsid w:val="001956FC"/>
    <w:rsid w:val="00195CA8"/>
    <w:rsid w:val="001A0824"/>
    <w:rsid w:val="001A0BCF"/>
    <w:rsid w:val="001A300D"/>
    <w:rsid w:val="001A4D20"/>
    <w:rsid w:val="001A5BD5"/>
    <w:rsid w:val="001A69E3"/>
    <w:rsid w:val="001B191D"/>
    <w:rsid w:val="001B32B6"/>
    <w:rsid w:val="001B346D"/>
    <w:rsid w:val="001C1C2D"/>
    <w:rsid w:val="001C3371"/>
    <w:rsid w:val="001C3A1A"/>
    <w:rsid w:val="001C53C4"/>
    <w:rsid w:val="001C5927"/>
    <w:rsid w:val="001C6799"/>
    <w:rsid w:val="001C6907"/>
    <w:rsid w:val="001D1E80"/>
    <w:rsid w:val="001D2F28"/>
    <w:rsid w:val="001D4F2E"/>
    <w:rsid w:val="001D57B3"/>
    <w:rsid w:val="001D7516"/>
    <w:rsid w:val="001E02C1"/>
    <w:rsid w:val="001E39E1"/>
    <w:rsid w:val="001E6C94"/>
    <w:rsid w:val="001E7B50"/>
    <w:rsid w:val="001F05C0"/>
    <w:rsid w:val="001F2104"/>
    <w:rsid w:val="001F218C"/>
    <w:rsid w:val="001F2DFF"/>
    <w:rsid w:val="001F6F95"/>
    <w:rsid w:val="00200343"/>
    <w:rsid w:val="002005F4"/>
    <w:rsid w:val="00200EAB"/>
    <w:rsid w:val="00203B4A"/>
    <w:rsid w:val="00203DF8"/>
    <w:rsid w:val="0020569F"/>
    <w:rsid w:val="00205DDC"/>
    <w:rsid w:val="00207CA0"/>
    <w:rsid w:val="00214E8B"/>
    <w:rsid w:val="00215FD9"/>
    <w:rsid w:val="00221B36"/>
    <w:rsid w:val="002223E4"/>
    <w:rsid w:val="002240F7"/>
    <w:rsid w:val="00225340"/>
    <w:rsid w:val="0022542C"/>
    <w:rsid w:val="002267D3"/>
    <w:rsid w:val="002268E3"/>
    <w:rsid w:val="002277C8"/>
    <w:rsid w:val="00227EF0"/>
    <w:rsid w:val="00230FE2"/>
    <w:rsid w:val="00231E01"/>
    <w:rsid w:val="0023250D"/>
    <w:rsid w:val="002348ED"/>
    <w:rsid w:val="002379DD"/>
    <w:rsid w:val="002403BD"/>
    <w:rsid w:val="002406ED"/>
    <w:rsid w:val="002432FE"/>
    <w:rsid w:val="0024399E"/>
    <w:rsid w:val="00243EB4"/>
    <w:rsid w:val="002445C1"/>
    <w:rsid w:val="00244703"/>
    <w:rsid w:val="002456ED"/>
    <w:rsid w:val="00246980"/>
    <w:rsid w:val="00250851"/>
    <w:rsid w:val="00251402"/>
    <w:rsid w:val="00251EB4"/>
    <w:rsid w:val="0025299F"/>
    <w:rsid w:val="00252A27"/>
    <w:rsid w:val="00252AC9"/>
    <w:rsid w:val="00255138"/>
    <w:rsid w:val="002573F9"/>
    <w:rsid w:val="002579A3"/>
    <w:rsid w:val="0026139A"/>
    <w:rsid w:val="00261759"/>
    <w:rsid w:val="00262B45"/>
    <w:rsid w:val="00262FB3"/>
    <w:rsid w:val="00263C64"/>
    <w:rsid w:val="00266880"/>
    <w:rsid w:val="002717DD"/>
    <w:rsid w:val="00274DF5"/>
    <w:rsid w:val="00275311"/>
    <w:rsid w:val="00276E35"/>
    <w:rsid w:val="00277079"/>
    <w:rsid w:val="0028182B"/>
    <w:rsid w:val="0028283C"/>
    <w:rsid w:val="002828F9"/>
    <w:rsid w:val="00286642"/>
    <w:rsid w:val="00286B4B"/>
    <w:rsid w:val="002911E4"/>
    <w:rsid w:val="00291BC6"/>
    <w:rsid w:val="002928B7"/>
    <w:rsid w:val="002949C2"/>
    <w:rsid w:val="00294B1C"/>
    <w:rsid w:val="00296A06"/>
    <w:rsid w:val="00297505"/>
    <w:rsid w:val="002A1C51"/>
    <w:rsid w:val="002A1F4C"/>
    <w:rsid w:val="002A2D94"/>
    <w:rsid w:val="002A4498"/>
    <w:rsid w:val="002A493E"/>
    <w:rsid w:val="002A51A7"/>
    <w:rsid w:val="002A54EC"/>
    <w:rsid w:val="002A5A23"/>
    <w:rsid w:val="002A5E67"/>
    <w:rsid w:val="002A5F53"/>
    <w:rsid w:val="002A6A78"/>
    <w:rsid w:val="002B10E7"/>
    <w:rsid w:val="002B28D0"/>
    <w:rsid w:val="002B60F8"/>
    <w:rsid w:val="002B6C48"/>
    <w:rsid w:val="002C0F26"/>
    <w:rsid w:val="002C2657"/>
    <w:rsid w:val="002C2C06"/>
    <w:rsid w:val="002C3AE2"/>
    <w:rsid w:val="002C7BAD"/>
    <w:rsid w:val="002D09AA"/>
    <w:rsid w:val="002D0A06"/>
    <w:rsid w:val="002D1D7E"/>
    <w:rsid w:val="002D378A"/>
    <w:rsid w:val="002D3EF6"/>
    <w:rsid w:val="002D41BB"/>
    <w:rsid w:val="002D4A46"/>
    <w:rsid w:val="002D5909"/>
    <w:rsid w:val="002D68BC"/>
    <w:rsid w:val="002E01C2"/>
    <w:rsid w:val="002E1D35"/>
    <w:rsid w:val="002E555F"/>
    <w:rsid w:val="002F0785"/>
    <w:rsid w:val="002F2F41"/>
    <w:rsid w:val="002F655B"/>
    <w:rsid w:val="002F678C"/>
    <w:rsid w:val="00301119"/>
    <w:rsid w:val="00301945"/>
    <w:rsid w:val="00301E91"/>
    <w:rsid w:val="00302246"/>
    <w:rsid w:val="0030248B"/>
    <w:rsid w:val="00303AD5"/>
    <w:rsid w:val="00303C8C"/>
    <w:rsid w:val="003045CE"/>
    <w:rsid w:val="00305AD2"/>
    <w:rsid w:val="00310897"/>
    <w:rsid w:val="00310AA3"/>
    <w:rsid w:val="00310BE6"/>
    <w:rsid w:val="00312607"/>
    <w:rsid w:val="003137DB"/>
    <w:rsid w:val="00314394"/>
    <w:rsid w:val="003200F4"/>
    <w:rsid w:val="003202C9"/>
    <w:rsid w:val="003216CD"/>
    <w:rsid w:val="003249A3"/>
    <w:rsid w:val="00327748"/>
    <w:rsid w:val="00327867"/>
    <w:rsid w:val="00330A12"/>
    <w:rsid w:val="0033283B"/>
    <w:rsid w:val="003338FE"/>
    <w:rsid w:val="003354FA"/>
    <w:rsid w:val="00335680"/>
    <w:rsid w:val="00336022"/>
    <w:rsid w:val="00336F22"/>
    <w:rsid w:val="003374DF"/>
    <w:rsid w:val="00340536"/>
    <w:rsid w:val="00342061"/>
    <w:rsid w:val="00345B61"/>
    <w:rsid w:val="00352218"/>
    <w:rsid w:val="00352A32"/>
    <w:rsid w:val="0035385A"/>
    <w:rsid w:val="00354A2D"/>
    <w:rsid w:val="00355194"/>
    <w:rsid w:val="00355CF1"/>
    <w:rsid w:val="00355F80"/>
    <w:rsid w:val="00357EEE"/>
    <w:rsid w:val="003606FF"/>
    <w:rsid w:val="00362CA3"/>
    <w:rsid w:val="003643DD"/>
    <w:rsid w:val="00365F72"/>
    <w:rsid w:val="00370EAD"/>
    <w:rsid w:val="0037165E"/>
    <w:rsid w:val="00371E60"/>
    <w:rsid w:val="0037217A"/>
    <w:rsid w:val="00373524"/>
    <w:rsid w:val="00377283"/>
    <w:rsid w:val="0037756A"/>
    <w:rsid w:val="00377D24"/>
    <w:rsid w:val="00382517"/>
    <w:rsid w:val="00391CED"/>
    <w:rsid w:val="003933AA"/>
    <w:rsid w:val="00393483"/>
    <w:rsid w:val="00393997"/>
    <w:rsid w:val="00393E94"/>
    <w:rsid w:val="00394408"/>
    <w:rsid w:val="00395D08"/>
    <w:rsid w:val="003969D0"/>
    <w:rsid w:val="00396B21"/>
    <w:rsid w:val="00396B26"/>
    <w:rsid w:val="00396E8A"/>
    <w:rsid w:val="00397797"/>
    <w:rsid w:val="003A19FB"/>
    <w:rsid w:val="003A1BA7"/>
    <w:rsid w:val="003A437E"/>
    <w:rsid w:val="003A4600"/>
    <w:rsid w:val="003A5ABE"/>
    <w:rsid w:val="003B0EB0"/>
    <w:rsid w:val="003B1003"/>
    <w:rsid w:val="003B1C32"/>
    <w:rsid w:val="003C24FC"/>
    <w:rsid w:val="003C3413"/>
    <w:rsid w:val="003C67CD"/>
    <w:rsid w:val="003C6CCE"/>
    <w:rsid w:val="003C722D"/>
    <w:rsid w:val="003D09CA"/>
    <w:rsid w:val="003D229A"/>
    <w:rsid w:val="003D2C15"/>
    <w:rsid w:val="003D3117"/>
    <w:rsid w:val="003D6427"/>
    <w:rsid w:val="003D7279"/>
    <w:rsid w:val="003D75CC"/>
    <w:rsid w:val="003E15AF"/>
    <w:rsid w:val="003E1634"/>
    <w:rsid w:val="003E2664"/>
    <w:rsid w:val="003E394F"/>
    <w:rsid w:val="003E3989"/>
    <w:rsid w:val="003E5A37"/>
    <w:rsid w:val="003E5AE2"/>
    <w:rsid w:val="003E663B"/>
    <w:rsid w:val="003F15E0"/>
    <w:rsid w:val="003F58E2"/>
    <w:rsid w:val="003F6FA3"/>
    <w:rsid w:val="003F7F71"/>
    <w:rsid w:val="00400B13"/>
    <w:rsid w:val="004039A2"/>
    <w:rsid w:val="00404B91"/>
    <w:rsid w:val="00406C0B"/>
    <w:rsid w:val="004113A1"/>
    <w:rsid w:val="00412218"/>
    <w:rsid w:val="00414357"/>
    <w:rsid w:val="00414765"/>
    <w:rsid w:val="004152F5"/>
    <w:rsid w:val="00415752"/>
    <w:rsid w:val="00415B27"/>
    <w:rsid w:val="004172BD"/>
    <w:rsid w:val="004213CA"/>
    <w:rsid w:val="00422EB5"/>
    <w:rsid w:val="00423012"/>
    <w:rsid w:val="004231F0"/>
    <w:rsid w:val="004247C1"/>
    <w:rsid w:val="004269AF"/>
    <w:rsid w:val="0043072D"/>
    <w:rsid w:val="00430EFF"/>
    <w:rsid w:val="00433A66"/>
    <w:rsid w:val="004356D2"/>
    <w:rsid w:val="004426BD"/>
    <w:rsid w:val="0044300D"/>
    <w:rsid w:val="00443327"/>
    <w:rsid w:val="00443E0F"/>
    <w:rsid w:val="00444AD1"/>
    <w:rsid w:val="00450660"/>
    <w:rsid w:val="004512CE"/>
    <w:rsid w:val="00454490"/>
    <w:rsid w:val="0045569E"/>
    <w:rsid w:val="00455DA0"/>
    <w:rsid w:val="00456960"/>
    <w:rsid w:val="00457063"/>
    <w:rsid w:val="00461640"/>
    <w:rsid w:val="00463958"/>
    <w:rsid w:val="00464ECF"/>
    <w:rsid w:val="004650B5"/>
    <w:rsid w:val="00465309"/>
    <w:rsid w:val="00466B6B"/>
    <w:rsid w:val="00467770"/>
    <w:rsid w:val="00471607"/>
    <w:rsid w:val="00471C60"/>
    <w:rsid w:val="00472BDC"/>
    <w:rsid w:val="0047363C"/>
    <w:rsid w:val="0047386B"/>
    <w:rsid w:val="0047426B"/>
    <w:rsid w:val="004768D7"/>
    <w:rsid w:val="00477714"/>
    <w:rsid w:val="0048215E"/>
    <w:rsid w:val="00482201"/>
    <w:rsid w:val="0048248A"/>
    <w:rsid w:val="0048385C"/>
    <w:rsid w:val="00483903"/>
    <w:rsid w:val="0048564D"/>
    <w:rsid w:val="00490064"/>
    <w:rsid w:val="004906C8"/>
    <w:rsid w:val="004911EF"/>
    <w:rsid w:val="004918C2"/>
    <w:rsid w:val="00492BC0"/>
    <w:rsid w:val="00493C97"/>
    <w:rsid w:val="0049448D"/>
    <w:rsid w:val="00495C7C"/>
    <w:rsid w:val="004A77A8"/>
    <w:rsid w:val="004B04FE"/>
    <w:rsid w:val="004B114D"/>
    <w:rsid w:val="004B1E53"/>
    <w:rsid w:val="004B52D5"/>
    <w:rsid w:val="004B640D"/>
    <w:rsid w:val="004B6F3F"/>
    <w:rsid w:val="004B7111"/>
    <w:rsid w:val="004B7F12"/>
    <w:rsid w:val="004C795F"/>
    <w:rsid w:val="004D0303"/>
    <w:rsid w:val="004D0A49"/>
    <w:rsid w:val="004D0B04"/>
    <w:rsid w:val="004D3523"/>
    <w:rsid w:val="004D4280"/>
    <w:rsid w:val="004D42B1"/>
    <w:rsid w:val="004D49A1"/>
    <w:rsid w:val="004D6F06"/>
    <w:rsid w:val="004D77F1"/>
    <w:rsid w:val="004E026E"/>
    <w:rsid w:val="004E064B"/>
    <w:rsid w:val="004E2987"/>
    <w:rsid w:val="004E3526"/>
    <w:rsid w:val="004E4EFC"/>
    <w:rsid w:val="004E60B7"/>
    <w:rsid w:val="004E6E2E"/>
    <w:rsid w:val="004F2B69"/>
    <w:rsid w:val="004F3867"/>
    <w:rsid w:val="004F3CE9"/>
    <w:rsid w:val="004F4380"/>
    <w:rsid w:val="004F4F8C"/>
    <w:rsid w:val="004F6345"/>
    <w:rsid w:val="004F6A2B"/>
    <w:rsid w:val="0050025A"/>
    <w:rsid w:val="00503C7A"/>
    <w:rsid w:val="005043E9"/>
    <w:rsid w:val="005046F6"/>
    <w:rsid w:val="00504BB1"/>
    <w:rsid w:val="00505324"/>
    <w:rsid w:val="0050585F"/>
    <w:rsid w:val="005078F4"/>
    <w:rsid w:val="00512B28"/>
    <w:rsid w:val="005144C9"/>
    <w:rsid w:val="00514B71"/>
    <w:rsid w:val="00515093"/>
    <w:rsid w:val="005221F3"/>
    <w:rsid w:val="00524FA6"/>
    <w:rsid w:val="00525DB5"/>
    <w:rsid w:val="00526A37"/>
    <w:rsid w:val="00532863"/>
    <w:rsid w:val="00532D71"/>
    <w:rsid w:val="00535032"/>
    <w:rsid w:val="00537F84"/>
    <w:rsid w:val="0054114F"/>
    <w:rsid w:val="0054368D"/>
    <w:rsid w:val="0054376F"/>
    <w:rsid w:val="00543FFF"/>
    <w:rsid w:val="00553A73"/>
    <w:rsid w:val="00553FC1"/>
    <w:rsid w:val="0055458D"/>
    <w:rsid w:val="00555B22"/>
    <w:rsid w:val="00556307"/>
    <w:rsid w:val="00557B28"/>
    <w:rsid w:val="00557E57"/>
    <w:rsid w:val="0056103E"/>
    <w:rsid w:val="00563BC2"/>
    <w:rsid w:val="00564270"/>
    <w:rsid w:val="00564F02"/>
    <w:rsid w:val="0056687A"/>
    <w:rsid w:val="00570395"/>
    <w:rsid w:val="00570DC7"/>
    <w:rsid w:val="00571B02"/>
    <w:rsid w:val="00571ED4"/>
    <w:rsid w:val="0057305C"/>
    <w:rsid w:val="0057351F"/>
    <w:rsid w:val="00573D51"/>
    <w:rsid w:val="00575650"/>
    <w:rsid w:val="00575EA2"/>
    <w:rsid w:val="00580E59"/>
    <w:rsid w:val="00581049"/>
    <w:rsid w:val="0058111F"/>
    <w:rsid w:val="00581F30"/>
    <w:rsid w:val="005826B4"/>
    <w:rsid w:val="005832E2"/>
    <w:rsid w:val="00584280"/>
    <w:rsid w:val="0058459E"/>
    <w:rsid w:val="00585A1E"/>
    <w:rsid w:val="00585FD9"/>
    <w:rsid w:val="00586314"/>
    <w:rsid w:val="00586777"/>
    <w:rsid w:val="005909C4"/>
    <w:rsid w:val="005953FB"/>
    <w:rsid w:val="005A050C"/>
    <w:rsid w:val="005A37E0"/>
    <w:rsid w:val="005A3D3D"/>
    <w:rsid w:val="005A60A9"/>
    <w:rsid w:val="005A6945"/>
    <w:rsid w:val="005B0058"/>
    <w:rsid w:val="005B0602"/>
    <w:rsid w:val="005B06F3"/>
    <w:rsid w:val="005B0F74"/>
    <w:rsid w:val="005B4098"/>
    <w:rsid w:val="005B671C"/>
    <w:rsid w:val="005B6CD9"/>
    <w:rsid w:val="005B70FB"/>
    <w:rsid w:val="005C0ABF"/>
    <w:rsid w:val="005C1024"/>
    <w:rsid w:val="005C2247"/>
    <w:rsid w:val="005C3260"/>
    <w:rsid w:val="005C57F3"/>
    <w:rsid w:val="005C5938"/>
    <w:rsid w:val="005C6243"/>
    <w:rsid w:val="005D0F61"/>
    <w:rsid w:val="005D3CCC"/>
    <w:rsid w:val="005D71CD"/>
    <w:rsid w:val="005D7235"/>
    <w:rsid w:val="005E3297"/>
    <w:rsid w:val="005E417D"/>
    <w:rsid w:val="005E47AB"/>
    <w:rsid w:val="005E4985"/>
    <w:rsid w:val="005E4C5F"/>
    <w:rsid w:val="005E5544"/>
    <w:rsid w:val="005E5B78"/>
    <w:rsid w:val="005E6424"/>
    <w:rsid w:val="005E6815"/>
    <w:rsid w:val="005E6C9A"/>
    <w:rsid w:val="005F0955"/>
    <w:rsid w:val="005F2087"/>
    <w:rsid w:val="005F3ABF"/>
    <w:rsid w:val="005F56F1"/>
    <w:rsid w:val="005F5EBD"/>
    <w:rsid w:val="005F666A"/>
    <w:rsid w:val="005F67E0"/>
    <w:rsid w:val="005F6C87"/>
    <w:rsid w:val="005F6E12"/>
    <w:rsid w:val="00601B89"/>
    <w:rsid w:val="00601FC5"/>
    <w:rsid w:val="006023CC"/>
    <w:rsid w:val="00604CBB"/>
    <w:rsid w:val="00607D18"/>
    <w:rsid w:val="00610A39"/>
    <w:rsid w:val="006115A8"/>
    <w:rsid w:val="0061219A"/>
    <w:rsid w:val="00612A04"/>
    <w:rsid w:val="00613461"/>
    <w:rsid w:val="00614E54"/>
    <w:rsid w:val="00615854"/>
    <w:rsid w:val="00616E70"/>
    <w:rsid w:val="0062253C"/>
    <w:rsid w:val="00622B6B"/>
    <w:rsid w:val="00622CE5"/>
    <w:rsid w:val="00623111"/>
    <w:rsid w:val="006244C6"/>
    <w:rsid w:val="00625EA5"/>
    <w:rsid w:val="00626239"/>
    <w:rsid w:val="006262CC"/>
    <w:rsid w:val="006316D3"/>
    <w:rsid w:val="006339FB"/>
    <w:rsid w:val="0063715A"/>
    <w:rsid w:val="00637C4D"/>
    <w:rsid w:val="006436BE"/>
    <w:rsid w:val="00651F9B"/>
    <w:rsid w:val="00652D1F"/>
    <w:rsid w:val="006533D8"/>
    <w:rsid w:val="00653C9E"/>
    <w:rsid w:val="00660507"/>
    <w:rsid w:val="006634E4"/>
    <w:rsid w:val="006640AA"/>
    <w:rsid w:val="00665A78"/>
    <w:rsid w:val="00667DC9"/>
    <w:rsid w:val="00670001"/>
    <w:rsid w:val="006733AA"/>
    <w:rsid w:val="00673865"/>
    <w:rsid w:val="006764B6"/>
    <w:rsid w:val="00680986"/>
    <w:rsid w:val="006840BE"/>
    <w:rsid w:val="00684434"/>
    <w:rsid w:val="006862EF"/>
    <w:rsid w:val="00686A2A"/>
    <w:rsid w:val="00686C34"/>
    <w:rsid w:val="00687339"/>
    <w:rsid w:val="00692A6C"/>
    <w:rsid w:val="00693111"/>
    <w:rsid w:val="006932DA"/>
    <w:rsid w:val="00695711"/>
    <w:rsid w:val="006A0154"/>
    <w:rsid w:val="006A4427"/>
    <w:rsid w:val="006A4B34"/>
    <w:rsid w:val="006A70E3"/>
    <w:rsid w:val="006B0EDF"/>
    <w:rsid w:val="006B228F"/>
    <w:rsid w:val="006B2977"/>
    <w:rsid w:val="006B3934"/>
    <w:rsid w:val="006B3A24"/>
    <w:rsid w:val="006B4AED"/>
    <w:rsid w:val="006B4BE7"/>
    <w:rsid w:val="006B5ACA"/>
    <w:rsid w:val="006B6F6F"/>
    <w:rsid w:val="006C15B1"/>
    <w:rsid w:val="006C1774"/>
    <w:rsid w:val="006C2D84"/>
    <w:rsid w:val="006C4EE6"/>
    <w:rsid w:val="006C5EF5"/>
    <w:rsid w:val="006D1454"/>
    <w:rsid w:val="006D2DAA"/>
    <w:rsid w:val="006D3030"/>
    <w:rsid w:val="006D45B9"/>
    <w:rsid w:val="006D65D2"/>
    <w:rsid w:val="006D76DA"/>
    <w:rsid w:val="006E1DE3"/>
    <w:rsid w:val="006E33C8"/>
    <w:rsid w:val="006E41C1"/>
    <w:rsid w:val="006E5E82"/>
    <w:rsid w:val="006F01A8"/>
    <w:rsid w:val="006F1886"/>
    <w:rsid w:val="006F1B70"/>
    <w:rsid w:val="006F28F8"/>
    <w:rsid w:val="006F3889"/>
    <w:rsid w:val="006F3B01"/>
    <w:rsid w:val="00700C0E"/>
    <w:rsid w:val="007015D9"/>
    <w:rsid w:val="0070387D"/>
    <w:rsid w:val="00704C29"/>
    <w:rsid w:val="00705A18"/>
    <w:rsid w:val="00711D5A"/>
    <w:rsid w:val="00711EAA"/>
    <w:rsid w:val="0071402C"/>
    <w:rsid w:val="00714ED9"/>
    <w:rsid w:val="00721974"/>
    <w:rsid w:val="00721DF5"/>
    <w:rsid w:val="00722B9B"/>
    <w:rsid w:val="00723EEA"/>
    <w:rsid w:val="00724A39"/>
    <w:rsid w:val="00726516"/>
    <w:rsid w:val="00726F2D"/>
    <w:rsid w:val="00732293"/>
    <w:rsid w:val="007342B4"/>
    <w:rsid w:val="007352F1"/>
    <w:rsid w:val="00735B4B"/>
    <w:rsid w:val="0074148E"/>
    <w:rsid w:val="007435C4"/>
    <w:rsid w:val="00743795"/>
    <w:rsid w:val="007439D5"/>
    <w:rsid w:val="00746A41"/>
    <w:rsid w:val="00746D9B"/>
    <w:rsid w:val="00747869"/>
    <w:rsid w:val="00752037"/>
    <w:rsid w:val="00752BCF"/>
    <w:rsid w:val="007538EA"/>
    <w:rsid w:val="00754463"/>
    <w:rsid w:val="0075485B"/>
    <w:rsid w:val="007568E5"/>
    <w:rsid w:val="00756EBC"/>
    <w:rsid w:val="0075757A"/>
    <w:rsid w:val="00757BEC"/>
    <w:rsid w:val="00761237"/>
    <w:rsid w:val="00761D48"/>
    <w:rsid w:val="00762AD1"/>
    <w:rsid w:val="00771E15"/>
    <w:rsid w:val="00772030"/>
    <w:rsid w:val="0077358F"/>
    <w:rsid w:val="007827FC"/>
    <w:rsid w:val="00783C88"/>
    <w:rsid w:val="00784F18"/>
    <w:rsid w:val="00785626"/>
    <w:rsid w:val="00786220"/>
    <w:rsid w:val="007862C8"/>
    <w:rsid w:val="00787653"/>
    <w:rsid w:val="00790DC1"/>
    <w:rsid w:val="00791556"/>
    <w:rsid w:val="00792B30"/>
    <w:rsid w:val="007936D1"/>
    <w:rsid w:val="00794BCD"/>
    <w:rsid w:val="0079527A"/>
    <w:rsid w:val="00796D42"/>
    <w:rsid w:val="00797055"/>
    <w:rsid w:val="007A21B4"/>
    <w:rsid w:val="007A2CE0"/>
    <w:rsid w:val="007A66DD"/>
    <w:rsid w:val="007B097B"/>
    <w:rsid w:val="007B1AD2"/>
    <w:rsid w:val="007B3216"/>
    <w:rsid w:val="007B3465"/>
    <w:rsid w:val="007B4A5F"/>
    <w:rsid w:val="007B5A0D"/>
    <w:rsid w:val="007B64DD"/>
    <w:rsid w:val="007C034C"/>
    <w:rsid w:val="007C0805"/>
    <w:rsid w:val="007C0C3C"/>
    <w:rsid w:val="007C448B"/>
    <w:rsid w:val="007C466F"/>
    <w:rsid w:val="007C47A9"/>
    <w:rsid w:val="007C56CF"/>
    <w:rsid w:val="007C5D8C"/>
    <w:rsid w:val="007C7BD6"/>
    <w:rsid w:val="007D0583"/>
    <w:rsid w:val="007D415C"/>
    <w:rsid w:val="007E021C"/>
    <w:rsid w:val="007E072A"/>
    <w:rsid w:val="007E30FA"/>
    <w:rsid w:val="007E5549"/>
    <w:rsid w:val="007E7BD7"/>
    <w:rsid w:val="007F161F"/>
    <w:rsid w:val="007F1CCD"/>
    <w:rsid w:val="007F1DF7"/>
    <w:rsid w:val="007F2F9E"/>
    <w:rsid w:val="007F46EE"/>
    <w:rsid w:val="007F5D0F"/>
    <w:rsid w:val="007F61D6"/>
    <w:rsid w:val="007F6A43"/>
    <w:rsid w:val="007F6E8B"/>
    <w:rsid w:val="00800ACE"/>
    <w:rsid w:val="008015FA"/>
    <w:rsid w:val="00801703"/>
    <w:rsid w:val="00801F68"/>
    <w:rsid w:val="00802B0A"/>
    <w:rsid w:val="00804D08"/>
    <w:rsid w:val="008056B2"/>
    <w:rsid w:val="00805B7E"/>
    <w:rsid w:val="00805BDD"/>
    <w:rsid w:val="008104FC"/>
    <w:rsid w:val="00811765"/>
    <w:rsid w:val="00813588"/>
    <w:rsid w:val="00813643"/>
    <w:rsid w:val="0081364E"/>
    <w:rsid w:val="00820434"/>
    <w:rsid w:val="008234AF"/>
    <w:rsid w:val="00827511"/>
    <w:rsid w:val="00827738"/>
    <w:rsid w:val="00833D20"/>
    <w:rsid w:val="00834055"/>
    <w:rsid w:val="00835929"/>
    <w:rsid w:val="00835997"/>
    <w:rsid w:val="008360C0"/>
    <w:rsid w:val="00836E9F"/>
    <w:rsid w:val="00842326"/>
    <w:rsid w:val="00843064"/>
    <w:rsid w:val="0084459D"/>
    <w:rsid w:val="00844AEF"/>
    <w:rsid w:val="0084578C"/>
    <w:rsid w:val="00847000"/>
    <w:rsid w:val="00850570"/>
    <w:rsid w:val="00850C83"/>
    <w:rsid w:val="0085248B"/>
    <w:rsid w:val="00855F70"/>
    <w:rsid w:val="00855FAA"/>
    <w:rsid w:val="0086063E"/>
    <w:rsid w:val="00860AF2"/>
    <w:rsid w:val="008617A2"/>
    <w:rsid w:val="00865BC0"/>
    <w:rsid w:val="008712F9"/>
    <w:rsid w:val="0087199B"/>
    <w:rsid w:val="008736DA"/>
    <w:rsid w:val="00875082"/>
    <w:rsid w:val="00876F43"/>
    <w:rsid w:val="008809B1"/>
    <w:rsid w:val="00880C31"/>
    <w:rsid w:val="00881C14"/>
    <w:rsid w:val="00885275"/>
    <w:rsid w:val="00886444"/>
    <w:rsid w:val="008901EA"/>
    <w:rsid w:val="00891804"/>
    <w:rsid w:val="008923DF"/>
    <w:rsid w:val="008935A9"/>
    <w:rsid w:val="00894DFD"/>
    <w:rsid w:val="00895687"/>
    <w:rsid w:val="008979BA"/>
    <w:rsid w:val="00897A78"/>
    <w:rsid w:val="008A064D"/>
    <w:rsid w:val="008A0B03"/>
    <w:rsid w:val="008A1CA3"/>
    <w:rsid w:val="008A2084"/>
    <w:rsid w:val="008A30AF"/>
    <w:rsid w:val="008A417A"/>
    <w:rsid w:val="008A5B81"/>
    <w:rsid w:val="008A78F3"/>
    <w:rsid w:val="008B0CE7"/>
    <w:rsid w:val="008B33AE"/>
    <w:rsid w:val="008B4A0B"/>
    <w:rsid w:val="008B5354"/>
    <w:rsid w:val="008B60E0"/>
    <w:rsid w:val="008B6BA6"/>
    <w:rsid w:val="008C0675"/>
    <w:rsid w:val="008C3259"/>
    <w:rsid w:val="008D0ABC"/>
    <w:rsid w:val="008D15C6"/>
    <w:rsid w:val="008D16FA"/>
    <w:rsid w:val="008D1914"/>
    <w:rsid w:val="008D1D86"/>
    <w:rsid w:val="008D292D"/>
    <w:rsid w:val="008D3FBD"/>
    <w:rsid w:val="008D4D40"/>
    <w:rsid w:val="008D5A8E"/>
    <w:rsid w:val="008E2848"/>
    <w:rsid w:val="008E499F"/>
    <w:rsid w:val="008E4FF5"/>
    <w:rsid w:val="008F19CA"/>
    <w:rsid w:val="008F1DDB"/>
    <w:rsid w:val="008F20E8"/>
    <w:rsid w:val="008F3C6F"/>
    <w:rsid w:val="008F5586"/>
    <w:rsid w:val="00902970"/>
    <w:rsid w:val="00903473"/>
    <w:rsid w:val="00904739"/>
    <w:rsid w:val="00904ADD"/>
    <w:rsid w:val="00906E61"/>
    <w:rsid w:val="00907693"/>
    <w:rsid w:val="00910491"/>
    <w:rsid w:val="009145C0"/>
    <w:rsid w:val="00915D14"/>
    <w:rsid w:val="00916AC1"/>
    <w:rsid w:val="00924B12"/>
    <w:rsid w:val="009262EE"/>
    <w:rsid w:val="00931A3D"/>
    <w:rsid w:val="0093489E"/>
    <w:rsid w:val="00937B4A"/>
    <w:rsid w:val="00944A4B"/>
    <w:rsid w:val="00945235"/>
    <w:rsid w:val="00945BBA"/>
    <w:rsid w:val="00945C5D"/>
    <w:rsid w:val="00951A14"/>
    <w:rsid w:val="00951A3C"/>
    <w:rsid w:val="009531EE"/>
    <w:rsid w:val="0096131E"/>
    <w:rsid w:val="009615EA"/>
    <w:rsid w:val="0096292D"/>
    <w:rsid w:val="00963CE6"/>
    <w:rsid w:val="00964348"/>
    <w:rsid w:val="00965C08"/>
    <w:rsid w:val="0096604F"/>
    <w:rsid w:val="0097044D"/>
    <w:rsid w:val="0097080E"/>
    <w:rsid w:val="00972E4B"/>
    <w:rsid w:val="0097362D"/>
    <w:rsid w:val="0097395C"/>
    <w:rsid w:val="00974519"/>
    <w:rsid w:val="00974ACB"/>
    <w:rsid w:val="00974B6E"/>
    <w:rsid w:val="009750E6"/>
    <w:rsid w:val="00975E03"/>
    <w:rsid w:val="00982224"/>
    <w:rsid w:val="00984E0F"/>
    <w:rsid w:val="00985FC5"/>
    <w:rsid w:val="0098681C"/>
    <w:rsid w:val="00987A4D"/>
    <w:rsid w:val="00990FB3"/>
    <w:rsid w:val="00992270"/>
    <w:rsid w:val="009931F1"/>
    <w:rsid w:val="009941F4"/>
    <w:rsid w:val="00994433"/>
    <w:rsid w:val="0099481B"/>
    <w:rsid w:val="00995C27"/>
    <w:rsid w:val="009962F8"/>
    <w:rsid w:val="009966F5"/>
    <w:rsid w:val="00996A80"/>
    <w:rsid w:val="00997A75"/>
    <w:rsid w:val="009A28AE"/>
    <w:rsid w:val="009A2B7A"/>
    <w:rsid w:val="009A3915"/>
    <w:rsid w:val="009A3F9D"/>
    <w:rsid w:val="009A551F"/>
    <w:rsid w:val="009A67E7"/>
    <w:rsid w:val="009B0864"/>
    <w:rsid w:val="009B5049"/>
    <w:rsid w:val="009B6297"/>
    <w:rsid w:val="009C179F"/>
    <w:rsid w:val="009C4E4F"/>
    <w:rsid w:val="009D03F5"/>
    <w:rsid w:val="009D1271"/>
    <w:rsid w:val="009D26D2"/>
    <w:rsid w:val="009D36B2"/>
    <w:rsid w:val="009D4313"/>
    <w:rsid w:val="009D6F5A"/>
    <w:rsid w:val="009E3CF0"/>
    <w:rsid w:val="009E4D65"/>
    <w:rsid w:val="009E5610"/>
    <w:rsid w:val="009E68E1"/>
    <w:rsid w:val="009E6FD8"/>
    <w:rsid w:val="009F49FB"/>
    <w:rsid w:val="00A00302"/>
    <w:rsid w:val="00A007A8"/>
    <w:rsid w:val="00A0180C"/>
    <w:rsid w:val="00A03EE4"/>
    <w:rsid w:val="00A10217"/>
    <w:rsid w:val="00A1318C"/>
    <w:rsid w:val="00A1328D"/>
    <w:rsid w:val="00A1356C"/>
    <w:rsid w:val="00A140F7"/>
    <w:rsid w:val="00A1469D"/>
    <w:rsid w:val="00A17CBE"/>
    <w:rsid w:val="00A20E78"/>
    <w:rsid w:val="00A22472"/>
    <w:rsid w:val="00A23632"/>
    <w:rsid w:val="00A269FE"/>
    <w:rsid w:val="00A309F5"/>
    <w:rsid w:val="00A310E7"/>
    <w:rsid w:val="00A32CD6"/>
    <w:rsid w:val="00A33257"/>
    <w:rsid w:val="00A332EF"/>
    <w:rsid w:val="00A35A58"/>
    <w:rsid w:val="00A35E3A"/>
    <w:rsid w:val="00A37AC5"/>
    <w:rsid w:val="00A40A45"/>
    <w:rsid w:val="00A4135E"/>
    <w:rsid w:val="00A4487A"/>
    <w:rsid w:val="00A46A8B"/>
    <w:rsid w:val="00A46B24"/>
    <w:rsid w:val="00A515FA"/>
    <w:rsid w:val="00A52736"/>
    <w:rsid w:val="00A5538B"/>
    <w:rsid w:val="00A553D4"/>
    <w:rsid w:val="00A564CF"/>
    <w:rsid w:val="00A60173"/>
    <w:rsid w:val="00A60642"/>
    <w:rsid w:val="00A61330"/>
    <w:rsid w:val="00A6184B"/>
    <w:rsid w:val="00A62EB9"/>
    <w:rsid w:val="00A6504C"/>
    <w:rsid w:val="00A654E3"/>
    <w:rsid w:val="00A7110F"/>
    <w:rsid w:val="00A71A5C"/>
    <w:rsid w:val="00A7400B"/>
    <w:rsid w:val="00A74097"/>
    <w:rsid w:val="00A743A8"/>
    <w:rsid w:val="00A746BC"/>
    <w:rsid w:val="00A7599B"/>
    <w:rsid w:val="00A76210"/>
    <w:rsid w:val="00A82938"/>
    <w:rsid w:val="00A84678"/>
    <w:rsid w:val="00A90B24"/>
    <w:rsid w:val="00A90D57"/>
    <w:rsid w:val="00A919D0"/>
    <w:rsid w:val="00A95090"/>
    <w:rsid w:val="00A97750"/>
    <w:rsid w:val="00AA06EE"/>
    <w:rsid w:val="00AA0FF8"/>
    <w:rsid w:val="00AA28F9"/>
    <w:rsid w:val="00AA4612"/>
    <w:rsid w:val="00AA50FF"/>
    <w:rsid w:val="00AA5D26"/>
    <w:rsid w:val="00AA5D9A"/>
    <w:rsid w:val="00AA63F4"/>
    <w:rsid w:val="00AA6528"/>
    <w:rsid w:val="00AA65A7"/>
    <w:rsid w:val="00AA7A9D"/>
    <w:rsid w:val="00AB1C8D"/>
    <w:rsid w:val="00AB1DEA"/>
    <w:rsid w:val="00AB2F0A"/>
    <w:rsid w:val="00AB5B4C"/>
    <w:rsid w:val="00AB6FD8"/>
    <w:rsid w:val="00AB7197"/>
    <w:rsid w:val="00AC1560"/>
    <w:rsid w:val="00AC3C86"/>
    <w:rsid w:val="00AD027E"/>
    <w:rsid w:val="00AD0C6D"/>
    <w:rsid w:val="00AD12B9"/>
    <w:rsid w:val="00AD2617"/>
    <w:rsid w:val="00AD2FB8"/>
    <w:rsid w:val="00AD3295"/>
    <w:rsid w:val="00AD3EE6"/>
    <w:rsid w:val="00AD5162"/>
    <w:rsid w:val="00AD5CB9"/>
    <w:rsid w:val="00AD67A4"/>
    <w:rsid w:val="00AE1879"/>
    <w:rsid w:val="00AE2A8F"/>
    <w:rsid w:val="00AE40D1"/>
    <w:rsid w:val="00AE4DC2"/>
    <w:rsid w:val="00AF0F34"/>
    <w:rsid w:val="00AF38F0"/>
    <w:rsid w:val="00AF65E5"/>
    <w:rsid w:val="00B00F65"/>
    <w:rsid w:val="00B016DE"/>
    <w:rsid w:val="00B01E43"/>
    <w:rsid w:val="00B05388"/>
    <w:rsid w:val="00B05D7B"/>
    <w:rsid w:val="00B06D37"/>
    <w:rsid w:val="00B07116"/>
    <w:rsid w:val="00B073D6"/>
    <w:rsid w:val="00B07E17"/>
    <w:rsid w:val="00B10B76"/>
    <w:rsid w:val="00B12493"/>
    <w:rsid w:val="00B14CA6"/>
    <w:rsid w:val="00B15D3C"/>
    <w:rsid w:val="00B173C3"/>
    <w:rsid w:val="00B17DDF"/>
    <w:rsid w:val="00B2028D"/>
    <w:rsid w:val="00B21551"/>
    <w:rsid w:val="00B218A9"/>
    <w:rsid w:val="00B230B6"/>
    <w:rsid w:val="00B23E54"/>
    <w:rsid w:val="00B30A53"/>
    <w:rsid w:val="00B3113A"/>
    <w:rsid w:val="00B31F4B"/>
    <w:rsid w:val="00B34044"/>
    <w:rsid w:val="00B34E83"/>
    <w:rsid w:val="00B356FD"/>
    <w:rsid w:val="00B37984"/>
    <w:rsid w:val="00B401A6"/>
    <w:rsid w:val="00B40D7E"/>
    <w:rsid w:val="00B4184D"/>
    <w:rsid w:val="00B42E32"/>
    <w:rsid w:val="00B42F25"/>
    <w:rsid w:val="00B5174F"/>
    <w:rsid w:val="00B51DF3"/>
    <w:rsid w:val="00B52E48"/>
    <w:rsid w:val="00B532D7"/>
    <w:rsid w:val="00B5389C"/>
    <w:rsid w:val="00B53CB5"/>
    <w:rsid w:val="00B54717"/>
    <w:rsid w:val="00B54AB7"/>
    <w:rsid w:val="00B55C76"/>
    <w:rsid w:val="00B565B5"/>
    <w:rsid w:val="00B61B28"/>
    <w:rsid w:val="00B63490"/>
    <w:rsid w:val="00B63DC0"/>
    <w:rsid w:val="00B64D21"/>
    <w:rsid w:val="00B65622"/>
    <w:rsid w:val="00B664EA"/>
    <w:rsid w:val="00B6718C"/>
    <w:rsid w:val="00B67862"/>
    <w:rsid w:val="00B67C11"/>
    <w:rsid w:val="00B70FC1"/>
    <w:rsid w:val="00B7298B"/>
    <w:rsid w:val="00B7405E"/>
    <w:rsid w:val="00B764F6"/>
    <w:rsid w:val="00B81D32"/>
    <w:rsid w:val="00B864ED"/>
    <w:rsid w:val="00B869B8"/>
    <w:rsid w:val="00B8789C"/>
    <w:rsid w:val="00B91ED5"/>
    <w:rsid w:val="00B95214"/>
    <w:rsid w:val="00B96A3F"/>
    <w:rsid w:val="00BA10DA"/>
    <w:rsid w:val="00BA18BA"/>
    <w:rsid w:val="00BA1A0C"/>
    <w:rsid w:val="00BA1F14"/>
    <w:rsid w:val="00BA4253"/>
    <w:rsid w:val="00BA4810"/>
    <w:rsid w:val="00BA49DA"/>
    <w:rsid w:val="00BA54C4"/>
    <w:rsid w:val="00BA6097"/>
    <w:rsid w:val="00BA7A20"/>
    <w:rsid w:val="00BB2583"/>
    <w:rsid w:val="00BB3476"/>
    <w:rsid w:val="00BB38D6"/>
    <w:rsid w:val="00BB4AF5"/>
    <w:rsid w:val="00BB59E3"/>
    <w:rsid w:val="00BC126D"/>
    <w:rsid w:val="00BC1D1B"/>
    <w:rsid w:val="00BC1E5B"/>
    <w:rsid w:val="00BC2A81"/>
    <w:rsid w:val="00BC66B0"/>
    <w:rsid w:val="00BC67E2"/>
    <w:rsid w:val="00BD1E51"/>
    <w:rsid w:val="00BD4357"/>
    <w:rsid w:val="00BD45BD"/>
    <w:rsid w:val="00BD47B0"/>
    <w:rsid w:val="00BD4A07"/>
    <w:rsid w:val="00BD4D91"/>
    <w:rsid w:val="00BD5BBE"/>
    <w:rsid w:val="00BD679D"/>
    <w:rsid w:val="00BD7656"/>
    <w:rsid w:val="00BD78B7"/>
    <w:rsid w:val="00BE0DA6"/>
    <w:rsid w:val="00BE6E7F"/>
    <w:rsid w:val="00BE6E99"/>
    <w:rsid w:val="00BE732E"/>
    <w:rsid w:val="00BF0C58"/>
    <w:rsid w:val="00BF38A4"/>
    <w:rsid w:val="00BF4D6B"/>
    <w:rsid w:val="00BF5702"/>
    <w:rsid w:val="00BF6011"/>
    <w:rsid w:val="00BF6A9F"/>
    <w:rsid w:val="00BF7BDC"/>
    <w:rsid w:val="00BF7D5C"/>
    <w:rsid w:val="00C008B0"/>
    <w:rsid w:val="00C00DAB"/>
    <w:rsid w:val="00C01FDC"/>
    <w:rsid w:val="00C02ACE"/>
    <w:rsid w:val="00C03ABA"/>
    <w:rsid w:val="00C0402B"/>
    <w:rsid w:val="00C04458"/>
    <w:rsid w:val="00C0479D"/>
    <w:rsid w:val="00C04FED"/>
    <w:rsid w:val="00C0594F"/>
    <w:rsid w:val="00C0627E"/>
    <w:rsid w:val="00C07F4D"/>
    <w:rsid w:val="00C110D9"/>
    <w:rsid w:val="00C11224"/>
    <w:rsid w:val="00C12AAB"/>
    <w:rsid w:val="00C12E52"/>
    <w:rsid w:val="00C158D9"/>
    <w:rsid w:val="00C23FB2"/>
    <w:rsid w:val="00C248E3"/>
    <w:rsid w:val="00C3188A"/>
    <w:rsid w:val="00C33BEE"/>
    <w:rsid w:val="00C34B38"/>
    <w:rsid w:val="00C34D77"/>
    <w:rsid w:val="00C35391"/>
    <w:rsid w:val="00C36A10"/>
    <w:rsid w:val="00C36E7A"/>
    <w:rsid w:val="00C37B50"/>
    <w:rsid w:val="00C4074D"/>
    <w:rsid w:val="00C40BDE"/>
    <w:rsid w:val="00C40F29"/>
    <w:rsid w:val="00C415C2"/>
    <w:rsid w:val="00C4170B"/>
    <w:rsid w:val="00C41828"/>
    <w:rsid w:val="00C42D6A"/>
    <w:rsid w:val="00C42FAD"/>
    <w:rsid w:val="00C4397B"/>
    <w:rsid w:val="00C463BD"/>
    <w:rsid w:val="00C54842"/>
    <w:rsid w:val="00C56EC7"/>
    <w:rsid w:val="00C646A7"/>
    <w:rsid w:val="00C64F10"/>
    <w:rsid w:val="00C664B0"/>
    <w:rsid w:val="00C6772D"/>
    <w:rsid w:val="00C679BE"/>
    <w:rsid w:val="00C67D15"/>
    <w:rsid w:val="00C7368C"/>
    <w:rsid w:val="00C755EE"/>
    <w:rsid w:val="00C75D90"/>
    <w:rsid w:val="00C82F0E"/>
    <w:rsid w:val="00C83441"/>
    <w:rsid w:val="00C8671F"/>
    <w:rsid w:val="00C873C3"/>
    <w:rsid w:val="00C92EE3"/>
    <w:rsid w:val="00C933AE"/>
    <w:rsid w:val="00C935FC"/>
    <w:rsid w:val="00C9414E"/>
    <w:rsid w:val="00C941A7"/>
    <w:rsid w:val="00C9529F"/>
    <w:rsid w:val="00C962E0"/>
    <w:rsid w:val="00C9657E"/>
    <w:rsid w:val="00C971C0"/>
    <w:rsid w:val="00CA2172"/>
    <w:rsid w:val="00CA34D8"/>
    <w:rsid w:val="00CA4400"/>
    <w:rsid w:val="00CA5331"/>
    <w:rsid w:val="00CA6B97"/>
    <w:rsid w:val="00CA7938"/>
    <w:rsid w:val="00CA7D10"/>
    <w:rsid w:val="00CB08FA"/>
    <w:rsid w:val="00CB1A7E"/>
    <w:rsid w:val="00CB20FB"/>
    <w:rsid w:val="00CB2FA1"/>
    <w:rsid w:val="00CB5E6A"/>
    <w:rsid w:val="00CB6618"/>
    <w:rsid w:val="00CC1869"/>
    <w:rsid w:val="00CC2497"/>
    <w:rsid w:val="00CC2658"/>
    <w:rsid w:val="00CC3663"/>
    <w:rsid w:val="00CC3DFB"/>
    <w:rsid w:val="00CC441A"/>
    <w:rsid w:val="00CC6019"/>
    <w:rsid w:val="00CC6822"/>
    <w:rsid w:val="00CC7AAD"/>
    <w:rsid w:val="00CC7FA4"/>
    <w:rsid w:val="00CD54D5"/>
    <w:rsid w:val="00CD5E63"/>
    <w:rsid w:val="00CD67EC"/>
    <w:rsid w:val="00CE1532"/>
    <w:rsid w:val="00CE3C5B"/>
    <w:rsid w:val="00CE4107"/>
    <w:rsid w:val="00CE4558"/>
    <w:rsid w:val="00CE5A16"/>
    <w:rsid w:val="00CF2433"/>
    <w:rsid w:val="00CF754F"/>
    <w:rsid w:val="00CF7588"/>
    <w:rsid w:val="00D00DE7"/>
    <w:rsid w:val="00D02525"/>
    <w:rsid w:val="00D055F9"/>
    <w:rsid w:val="00D0760F"/>
    <w:rsid w:val="00D07DEB"/>
    <w:rsid w:val="00D1089C"/>
    <w:rsid w:val="00D130F3"/>
    <w:rsid w:val="00D13765"/>
    <w:rsid w:val="00D15C6A"/>
    <w:rsid w:val="00D17270"/>
    <w:rsid w:val="00D2054E"/>
    <w:rsid w:val="00D21610"/>
    <w:rsid w:val="00D23332"/>
    <w:rsid w:val="00D25435"/>
    <w:rsid w:val="00D255CB"/>
    <w:rsid w:val="00D255F2"/>
    <w:rsid w:val="00D26CDD"/>
    <w:rsid w:val="00D33893"/>
    <w:rsid w:val="00D3618C"/>
    <w:rsid w:val="00D36397"/>
    <w:rsid w:val="00D363B6"/>
    <w:rsid w:val="00D372D7"/>
    <w:rsid w:val="00D4057A"/>
    <w:rsid w:val="00D4107A"/>
    <w:rsid w:val="00D43D0B"/>
    <w:rsid w:val="00D43F20"/>
    <w:rsid w:val="00D52552"/>
    <w:rsid w:val="00D53713"/>
    <w:rsid w:val="00D54158"/>
    <w:rsid w:val="00D54B64"/>
    <w:rsid w:val="00D55D0A"/>
    <w:rsid w:val="00D56C05"/>
    <w:rsid w:val="00D60D50"/>
    <w:rsid w:val="00D615C3"/>
    <w:rsid w:val="00D63623"/>
    <w:rsid w:val="00D6488F"/>
    <w:rsid w:val="00D66BAB"/>
    <w:rsid w:val="00D70534"/>
    <w:rsid w:val="00D7198F"/>
    <w:rsid w:val="00D75799"/>
    <w:rsid w:val="00D75D6F"/>
    <w:rsid w:val="00D7641E"/>
    <w:rsid w:val="00D81250"/>
    <w:rsid w:val="00D81BFD"/>
    <w:rsid w:val="00D871CB"/>
    <w:rsid w:val="00D87A6D"/>
    <w:rsid w:val="00D90F5A"/>
    <w:rsid w:val="00D923B2"/>
    <w:rsid w:val="00D9488A"/>
    <w:rsid w:val="00D97995"/>
    <w:rsid w:val="00DA164B"/>
    <w:rsid w:val="00DA1803"/>
    <w:rsid w:val="00DA7468"/>
    <w:rsid w:val="00DB454E"/>
    <w:rsid w:val="00DB4841"/>
    <w:rsid w:val="00DB65C3"/>
    <w:rsid w:val="00DC16A9"/>
    <w:rsid w:val="00DC1754"/>
    <w:rsid w:val="00DC3632"/>
    <w:rsid w:val="00DC4D21"/>
    <w:rsid w:val="00DC68E7"/>
    <w:rsid w:val="00DC6EEB"/>
    <w:rsid w:val="00DD1C1E"/>
    <w:rsid w:val="00DD76CB"/>
    <w:rsid w:val="00DE0218"/>
    <w:rsid w:val="00DE0FAA"/>
    <w:rsid w:val="00DE340B"/>
    <w:rsid w:val="00DE5E55"/>
    <w:rsid w:val="00DF0E8A"/>
    <w:rsid w:val="00DF20C5"/>
    <w:rsid w:val="00DF2623"/>
    <w:rsid w:val="00DF3252"/>
    <w:rsid w:val="00DF3778"/>
    <w:rsid w:val="00DF428C"/>
    <w:rsid w:val="00DF6B41"/>
    <w:rsid w:val="00DF6B69"/>
    <w:rsid w:val="00E01CC5"/>
    <w:rsid w:val="00E03025"/>
    <w:rsid w:val="00E04C46"/>
    <w:rsid w:val="00E069EF"/>
    <w:rsid w:val="00E06A0B"/>
    <w:rsid w:val="00E0757C"/>
    <w:rsid w:val="00E077E6"/>
    <w:rsid w:val="00E10AF0"/>
    <w:rsid w:val="00E12BFB"/>
    <w:rsid w:val="00E160DA"/>
    <w:rsid w:val="00E161FD"/>
    <w:rsid w:val="00E17976"/>
    <w:rsid w:val="00E21764"/>
    <w:rsid w:val="00E248F4"/>
    <w:rsid w:val="00E264B8"/>
    <w:rsid w:val="00E26B28"/>
    <w:rsid w:val="00E27D98"/>
    <w:rsid w:val="00E27E91"/>
    <w:rsid w:val="00E34A70"/>
    <w:rsid w:val="00E3501F"/>
    <w:rsid w:val="00E3647F"/>
    <w:rsid w:val="00E37E39"/>
    <w:rsid w:val="00E40529"/>
    <w:rsid w:val="00E41BFE"/>
    <w:rsid w:val="00E43109"/>
    <w:rsid w:val="00E44824"/>
    <w:rsid w:val="00E47BAB"/>
    <w:rsid w:val="00E51C90"/>
    <w:rsid w:val="00E52AA6"/>
    <w:rsid w:val="00E54AD5"/>
    <w:rsid w:val="00E559BA"/>
    <w:rsid w:val="00E55BAC"/>
    <w:rsid w:val="00E5670D"/>
    <w:rsid w:val="00E57141"/>
    <w:rsid w:val="00E57566"/>
    <w:rsid w:val="00E611CF"/>
    <w:rsid w:val="00E6481B"/>
    <w:rsid w:val="00E66EC2"/>
    <w:rsid w:val="00E66FBF"/>
    <w:rsid w:val="00E74265"/>
    <w:rsid w:val="00E753AB"/>
    <w:rsid w:val="00E8036B"/>
    <w:rsid w:val="00E804AD"/>
    <w:rsid w:val="00E80CF0"/>
    <w:rsid w:val="00E823DB"/>
    <w:rsid w:val="00E855C8"/>
    <w:rsid w:val="00E85BFF"/>
    <w:rsid w:val="00E85CB1"/>
    <w:rsid w:val="00E86212"/>
    <w:rsid w:val="00E921E5"/>
    <w:rsid w:val="00E94587"/>
    <w:rsid w:val="00E95AB8"/>
    <w:rsid w:val="00E95D71"/>
    <w:rsid w:val="00E96646"/>
    <w:rsid w:val="00E968A8"/>
    <w:rsid w:val="00E973DC"/>
    <w:rsid w:val="00EA1505"/>
    <w:rsid w:val="00EA452F"/>
    <w:rsid w:val="00EA45E6"/>
    <w:rsid w:val="00EA6914"/>
    <w:rsid w:val="00EA74CD"/>
    <w:rsid w:val="00EB1AC7"/>
    <w:rsid w:val="00EB285B"/>
    <w:rsid w:val="00EB5EE2"/>
    <w:rsid w:val="00EB65B3"/>
    <w:rsid w:val="00EB78A3"/>
    <w:rsid w:val="00EC04CC"/>
    <w:rsid w:val="00EC1031"/>
    <w:rsid w:val="00EC11F0"/>
    <w:rsid w:val="00EC1924"/>
    <w:rsid w:val="00EC3E05"/>
    <w:rsid w:val="00EC6842"/>
    <w:rsid w:val="00ED26D9"/>
    <w:rsid w:val="00ED3335"/>
    <w:rsid w:val="00ED4201"/>
    <w:rsid w:val="00ED50C9"/>
    <w:rsid w:val="00ED5BEF"/>
    <w:rsid w:val="00ED61A8"/>
    <w:rsid w:val="00ED6FB4"/>
    <w:rsid w:val="00EE02E9"/>
    <w:rsid w:val="00EE0736"/>
    <w:rsid w:val="00EE1054"/>
    <w:rsid w:val="00EE64CB"/>
    <w:rsid w:val="00EF1127"/>
    <w:rsid w:val="00EF2212"/>
    <w:rsid w:val="00EF265C"/>
    <w:rsid w:val="00EF47FA"/>
    <w:rsid w:val="00EF5FFC"/>
    <w:rsid w:val="00EF66B0"/>
    <w:rsid w:val="00F01731"/>
    <w:rsid w:val="00F01FA3"/>
    <w:rsid w:val="00F031B5"/>
    <w:rsid w:val="00F041B3"/>
    <w:rsid w:val="00F04D5B"/>
    <w:rsid w:val="00F04F54"/>
    <w:rsid w:val="00F12D02"/>
    <w:rsid w:val="00F16926"/>
    <w:rsid w:val="00F22E17"/>
    <w:rsid w:val="00F24BCA"/>
    <w:rsid w:val="00F25703"/>
    <w:rsid w:val="00F2615B"/>
    <w:rsid w:val="00F304B5"/>
    <w:rsid w:val="00F30DFB"/>
    <w:rsid w:val="00F32207"/>
    <w:rsid w:val="00F32842"/>
    <w:rsid w:val="00F33BA9"/>
    <w:rsid w:val="00F34356"/>
    <w:rsid w:val="00F42CE7"/>
    <w:rsid w:val="00F42E3F"/>
    <w:rsid w:val="00F44B8F"/>
    <w:rsid w:val="00F4658A"/>
    <w:rsid w:val="00F47462"/>
    <w:rsid w:val="00F474BD"/>
    <w:rsid w:val="00F4792C"/>
    <w:rsid w:val="00F50EFC"/>
    <w:rsid w:val="00F52686"/>
    <w:rsid w:val="00F536A2"/>
    <w:rsid w:val="00F556A4"/>
    <w:rsid w:val="00F57955"/>
    <w:rsid w:val="00F60BD3"/>
    <w:rsid w:val="00F60EBE"/>
    <w:rsid w:val="00F6191F"/>
    <w:rsid w:val="00F70459"/>
    <w:rsid w:val="00F7046A"/>
    <w:rsid w:val="00F70616"/>
    <w:rsid w:val="00F719D3"/>
    <w:rsid w:val="00F73BE8"/>
    <w:rsid w:val="00F756DC"/>
    <w:rsid w:val="00F7663A"/>
    <w:rsid w:val="00F7663F"/>
    <w:rsid w:val="00F844F8"/>
    <w:rsid w:val="00F86389"/>
    <w:rsid w:val="00F86A16"/>
    <w:rsid w:val="00F91245"/>
    <w:rsid w:val="00F917CC"/>
    <w:rsid w:val="00F93C05"/>
    <w:rsid w:val="00F9406E"/>
    <w:rsid w:val="00F95C52"/>
    <w:rsid w:val="00F9657B"/>
    <w:rsid w:val="00F96903"/>
    <w:rsid w:val="00F96C89"/>
    <w:rsid w:val="00FA0610"/>
    <w:rsid w:val="00FA08D4"/>
    <w:rsid w:val="00FA1CC9"/>
    <w:rsid w:val="00FA2CE9"/>
    <w:rsid w:val="00FA53DE"/>
    <w:rsid w:val="00FA6A4D"/>
    <w:rsid w:val="00FA7AA0"/>
    <w:rsid w:val="00FB049B"/>
    <w:rsid w:val="00FB0C4B"/>
    <w:rsid w:val="00FB1700"/>
    <w:rsid w:val="00FB1833"/>
    <w:rsid w:val="00FB545E"/>
    <w:rsid w:val="00FC2F3E"/>
    <w:rsid w:val="00FC3449"/>
    <w:rsid w:val="00FC3992"/>
    <w:rsid w:val="00FC4268"/>
    <w:rsid w:val="00FC7318"/>
    <w:rsid w:val="00FC7D25"/>
    <w:rsid w:val="00FD0090"/>
    <w:rsid w:val="00FD4E46"/>
    <w:rsid w:val="00FD5A7C"/>
    <w:rsid w:val="00FD6EDF"/>
    <w:rsid w:val="00FE03C8"/>
    <w:rsid w:val="00FE26C3"/>
    <w:rsid w:val="00FE31E8"/>
    <w:rsid w:val="00FE717C"/>
    <w:rsid w:val="00FF0026"/>
    <w:rsid w:val="00FF3B8A"/>
    <w:rsid w:val="00FF4E2D"/>
    <w:rsid w:val="00FF4E7D"/>
    <w:rsid w:val="00FF5E76"/>
    <w:rsid w:val="00FF66AD"/>
    <w:rsid w:val="00FF7029"/>
    <w:rsid w:val="00FF7EC7"/>
    <w:rsid w:val="06AA6A63"/>
    <w:rsid w:val="0A1D7EA8"/>
    <w:rsid w:val="1EB30B09"/>
    <w:rsid w:val="3AF947CF"/>
    <w:rsid w:val="415B6A48"/>
    <w:rsid w:val="63A70E8C"/>
    <w:rsid w:val="76A9309F"/>
    <w:rsid w:val="7D4C63F9"/>
    <w:rsid w:val="7D770C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513</Words>
  <Characters>2928</Characters>
  <Lines>24</Lines>
  <Paragraphs>6</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2024-04-24T06:44:00Z</dcterms:created>
  <dc:creator>周珊珊</dc:creator>
  <cp:lastModifiedBy>总行董事会办公室</cp:lastModifiedBy>
  <dcterms:modified xsi:type="dcterms:W3CDTF">2026-04-27T06:02:10Z</dcterms:modified>
  <dc:title>金华银行股份有限公司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18E62C18407D42418160BDBD5B5CA356</vt:lpwstr>
  </property>
</Properties>
</file>